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Calibri" w:hAnsi="Calibri" w:cs="Calibri"/>
          <w:b/>
          <w:bCs/>
          <w:sz w:val="32"/>
          <w:szCs w:val="32"/>
        </w:rPr>
      </w:pPr>
      <w:r w:rsidRPr="00B33C25">
        <w:rPr>
          <w:rFonts w:ascii="Calibri" w:hAnsi="Calibri" w:cs="Calibri"/>
          <w:b/>
          <w:bCs/>
          <w:sz w:val="32"/>
          <w:szCs w:val="32"/>
        </w:rPr>
        <w:t xml:space="preserve">Preliminary Plat </w:t>
      </w:r>
    </w:p>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Calibri" w:hAnsi="Calibri" w:cs="Calibri"/>
          <w:sz w:val="24"/>
          <w:szCs w:val="24"/>
        </w:rPr>
      </w:pPr>
      <w:r w:rsidRPr="00B33C25">
        <w:rPr>
          <w:rFonts w:ascii="Calibri" w:hAnsi="Calibri" w:cs="Calibri"/>
          <w:b/>
          <w:bCs/>
          <w:sz w:val="32"/>
          <w:szCs w:val="32"/>
        </w:rPr>
        <w:t>Applicant's Letter</w:t>
      </w:r>
    </w:p>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Calibri" w:hAnsi="Calibri" w:cs="Calibri"/>
          <w:sz w:val="16"/>
          <w:szCs w:val="16"/>
        </w:rPr>
      </w:pPr>
    </w:p>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rPr>
          <w:rFonts w:ascii="Calibri" w:hAnsi="Calibri" w:cs="Calibri"/>
          <w:b/>
          <w:bCs/>
          <w:sz w:val="21"/>
          <w:szCs w:val="21"/>
        </w:rPr>
      </w:pPr>
      <w:r w:rsidRPr="00B33C25">
        <w:rPr>
          <w:rFonts w:ascii="Calibri" w:hAnsi="Calibri" w:cs="Calibri"/>
          <w:b/>
          <w:bCs/>
          <w:sz w:val="21"/>
          <w:szCs w:val="21"/>
        </w:rPr>
        <w:t>Date:</w:t>
      </w:r>
      <w:r w:rsidRPr="00B33C25">
        <w:rPr>
          <w:rFonts w:ascii="Calibri" w:hAnsi="Calibri" w:cs="Calibri"/>
          <w:b/>
          <w:bCs/>
          <w:sz w:val="21"/>
          <w:szCs w:val="21"/>
        </w:rPr>
        <w:tab/>
      </w:r>
      <w:r w:rsidRPr="00B33C25">
        <w:rPr>
          <w:rFonts w:ascii="Calibri" w:hAnsi="Calibri" w:cs="Calibri"/>
          <w:sz w:val="21"/>
          <w:szCs w:val="21"/>
        </w:rPr>
        <w:t>Monday, November 02, 2015</w:t>
      </w:r>
    </w:p>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To:</w:t>
      </w:r>
      <w:r w:rsidRPr="00B33C25">
        <w:rPr>
          <w:rFonts w:ascii="Calibri" w:hAnsi="Calibri" w:cs="Calibri"/>
          <w:b/>
          <w:bCs/>
          <w:sz w:val="21"/>
          <w:szCs w:val="21"/>
        </w:rPr>
        <w:tab/>
      </w:r>
    </w:p>
    <w:tbl>
      <w:tblPr>
        <w:tblW w:w="0" w:type="auto"/>
        <w:tblInd w:w="36" w:type="dxa"/>
        <w:tblLayout w:type="fixed"/>
        <w:tblCellMar>
          <w:left w:w="36" w:type="dxa"/>
          <w:right w:w="36" w:type="dxa"/>
        </w:tblCellMar>
        <w:tblLook w:val="0000"/>
      </w:tblPr>
      <w:tblGrid>
        <w:gridCol w:w="3600"/>
        <w:gridCol w:w="3615"/>
        <w:gridCol w:w="2922"/>
      </w:tblGrid>
      <w:tr w:rsidR="00B33C25" w:rsidRPr="00B33C25">
        <w:tc>
          <w:tcPr>
            <w:tcW w:w="3600" w:type="dxa"/>
            <w:tcBorders>
              <w:top w:val="nil"/>
              <w:left w:val="nil"/>
              <w:bottom w:val="nil"/>
              <w:right w:val="nil"/>
            </w:tcBorders>
          </w:tcPr>
          <w:p w:rsidR="00B33C25" w:rsidRPr="00B33C25" w:rsidRDefault="00B33C25" w:rsidP="00B33C25">
            <w:pPr>
              <w:tabs>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Applicant</w:t>
            </w:r>
            <w:r w:rsidRPr="00B33C25">
              <w:rPr>
                <w:rFonts w:ascii="Calibri" w:hAnsi="Calibri" w:cs="Calibri"/>
                <w:sz w:val="21"/>
                <w:szCs w:val="21"/>
              </w:rPr>
              <w:t>: WEHMEIR DEVELOPMENT LLC</w:t>
            </w:r>
          </w:p>
        </w:tc>
        <w:tc>
          <w:tcPr>
            <w:tcW w:w="3615"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Email: </w:t>
            </w:r>
          </w:p>
        </w:tc>
        <w:tc>
          <w:tcPr>
            <w:tcW w:w="2922"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Fax #: &lt;NO FAX NUMBER&gt;</w:t>
            </w:r>
          </w:p>
        </w:tc>
      </w:tr>
    </w:tbl>
    <w:p w:rsidR="00B33C25" w:rsidRPr="00B33C25" w:rsidRDefault="00B33C25" w:rsidP="00B33C25">
      <w:pPr>
        <w:tabs>
          <w:tab w:val="left" w:pos="720"/>
          <w:tab w:val="left" w:pos="4320"/>
          <w:tab w:val="left" w:pos="528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after="0" w:line="240" w:lineRule="auto"/>
        <w:rPr>
          <w:rFonts w:ascii="Calibri" w:hAnsi="Calibri" w:cs="Calibri"/>
          <w:sz w:val="12"/>
          <w:szCs w:val="12"/>
        </w:rPr>
      </w:pPr>
    </w:p>
    <w:tbl>
      <w:tblPr>
        <w:tblW w:w="0" w:type="auto"/>
        <w:tblInd w:w="36" w:type="dxa"/>
        <w:tblLayout w:type="fixed"/>
        <w:tblCellMar>
          <w:left w:w="36" w:type="dxa"/>
          <w:right w:w="36" w:type="dxa"/>
        </w:tblCellMar>
        <w:tblLook w:val="0000"/>
      </w:tblPr>
      <w:tblGrid>
        <w:gridCol w:w="3600"/>
        <w:gridCol w:w="3615"/>
        <w:gridCol w:w="2922"/>
      </w:tblGrid>
      <w:tr w:rsidR="00B33C25" w:rsidRPr="00B33C25">
        <w:tc>
          <w:tcPr>
            <w:tcW w:w="3600" w:type="dxa"/>
            <w:tcBorders>
              <w:top w:val="nil"/>
              <w:left w:val="nil"/>
              <w:bottom w:val="nil"/>
              <w:right w:val="nil"/>
            </w:tcBorders>
          </w:tcPr>
          <w:p w:rsidR="00B33C25" w:rsidRPr="00B33C25" w:rsidRDefault="00B33C25" w:rsidP="00B33C25">
            <w:pPr>
              <w:tabs>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Engineer</w:t>
            </w:r>
            <w:r w:rsidRPr="00B33C25">
              <w:rPr>
                <w:rFonts w:ascii="Calibri" w:hAnsi="Calibri" w:cs="Calibri"/>
                <w:sz w:val="21"/>
                <w:szCs w:val="21"/>
              </w:rPr>
              <w:t>: WARGER ASSOCIATES LLC</w:t>
            </w:r>
          </w:p>
        </w:tc>
        <w:tc>
          <w:tcPr>
            <w:tcW w:w="3615"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Email: STEVE@WARGERASSOCIATES.COM</w:t>
            </w:r>
          </w:p>
        </w:tc>
        <w:tc>
          <w:tcPr>
            <w:tcW w:w="2922"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Fax #: &lt;NO FAX NUMBER&gt;</w:t>
            </w:r>
          </w:p>
        </w:tc>
      </w:tr>
    </w:tbl>
    <w:p w:rsidR="00B33C25" w:rsidRPr="00B33C25" w:rsidRDefault="00B33C25" w:rsidP="00B33C25">
      <w:pPr>
        <w:tabs>
          <w:tab w:val="left" w:pos="720"/>
          <w:tab w:val="left" w:pos="4320"/>
          <w:tab w:val="left" w:pos="528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after="0" w:line="240" w:lineRule="auto"/>
        <w:rPr>
          <w:rFonts w:ascii="Calibri" w:hAnsi="Calibri" w:cs="Calibri"/>
          <w:sz w:val="12"/>
          <w:szCs w:val="12"/>
        </w:rPr>
      </w:pPr>
    </w:p>
    <w:tbl>
      <w:tblPr>
        <w:tblW w:w="0" w:type="auto"/>
        <w:tblInd w:w="36" w:type="dxa"/>
        <w:tblLayout w:type="fixed"/>
        <w:tblCellMar>
          <w:left w:w="36" w:type="dxa"/>
          <w:right w:w="36" w:type="dxa"/>
        </w:tblCellMar>
        <w:tblLook w:val="0000"/>
      </w:tblPr>
      <w:tblGrid>
        <w:gridCol w:w="3600"/>
        <w:gridCol w:w="3615"/>
        <w:gridCol w:w="2922"/>
      </w:tblGrid>
      <w:tr w:rsidR="00B33C25" w:rsidRPr="00B33C25">
        <w:tc>
          <w:tcPr>
            <w:tcW w:w="3600" w:type="dxa"/>
            <w:tcBorders>
              <w:top w:val="nil"/>
              <w:left w:val="nil"/>
              <w:bottom w:val="nil"/>
              <w:right w:val="nil"/>
            </w:tcBorders>
          </w:tcPr>
          <w:p w:rsidR="00B33C25" w:rsidRPr="00B33C25" w:rsidRDefault="00B33C25" w:rsidP="00B33C25">
            <w:pPr>
              <w:tabs>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Property Owner</w:t>
            </w:r>
            <w:r w:rsidRPr="00B33C25">
              <w:rPr>
                <w:rFonts w:ascii="Calibri" w:hAnsi="Calibri" w:cs="Calibri"/>
                <w:sz w:val="21"/>
                <w:szCs w:val="21"/>
              </w:rPr>
              <w:t>: TRIO DEVELOPMENT COMPANY LLC</w:t>
            </w:r>
          </w:p>
        </w:tc>
        <w:tc>
          <w:tcPr>
            <w:tcW w:w="3615"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Email: </w:t>
            </w:r>
          </w:p>
        </w:tc>
        <w:tc>
          <w:tcPr>
            <w:tcW w:w="2922"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Fax #: &lt;NO FAX NUMBER&gt;</w:t>
            </w:r>
          </w:p>
        </w:tc>
      </w:tr>
    </w:tbl>
    <w:p w:rsidR="00B33C25" w:rsidRPr="00B33C25" w:rsidRDefault="00B33C25" w:rsidP="00B33C25">
      <w:pPr>
        <w:tabs>
          <w:tab w:val="left" w:pos="720"/>
          <w:tab w:val="left" w:pos="4320"/>
          <w:tab w:val="left" w:pos="528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after="0" w:line="240" w:lineRule="auto"/>
        <w:rPr>
          <w:rFonts w:ascii="Calibri" w:hAnsi="Calibri" w:cs="Calibri"/>
        </w:rPr>
      </w:pPr>
    </w:p>
    <w:p w:rsidR="00B33C25" w:rsidRPr="00B33C25" w:rsidRDefault="00B33C25" w:rsidP="00B33C25">
      <w:pPr>
        <w:keepNext/>
        <w:tabs>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outlineLvl w:val="0"/>
        <w:rPr>
          <w:rFonts w:ascii="Calibri" w:hAnsi="Calibri" w:cs="Calibri"/>
        </w:rPr>
      </w:pPr>
      <w:r w:rsidRPr="00B33C25">
        <w:rPr>
          <w:rFonts w:ascii="Calibri" w:hAnsi="Calibri" w:cs="Calibri"/>
          <w:b/>
          <w:bCs/>
        </w:rPr>
        <w:t>From</w:t>
      </w:r>
      <w:r w:rsidRPr="00B33C25">
        <w:rPr>
          <w:rFonts w:ascii="Calibri" w:hAnsi="Calibri" w:cs="Calibri"/>
        </w:rPr>
        <w:t>: Ron Seyl, Planner</w:t>
      </w:r>
    </w:p>
    <w:p w:rsidR="00B33C25" w:rsidRPr="00B33C25" w:rsidRDefault="00B33C25" w:rsidP="00B33C25">
      <w:pPr>
        <w:autoSpaceDE w:val="0"/>
        <w:autoSpaceDN w:val="0"/>
        <w:adjustRightInd w:val="0"/>
        <w:spacing w:after="0" w:line="240" w:lineRule="auto"/>
        <w:rPr>
          <w:rFonts w:ascii="Calibri" w:hAnsi="Calibri" w:cs="Calibri"/>
          <w:sz w:val="12"/>
          <w:szCs w:val="12"/>
        </w:rPr>
      </w:pPr>
    </w:p>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576"/>
        <w:rPr>
          <w:rFonts w:ascii="Calibri" w:hAnsi="Calibri" w:cs="Calibri"/>
          <w:b/>
          <w:bCs/>
          <w:sz w:val="21"/>
          <w:szCs w:val="21"/>
        </w:rPr>
      </w:pPr>
      <w:r w:rsidRPr="00B33C25">
        <w:rPr>
          <w:rFonts w:ascii="Calibri" w:hAnsi="Calibri" w:cs="Calibri"/>
          <w:b/>
          <w:bCs/>
          <w:sz w:val="21"/>
          <w:szCs w:val="21"/>
        </w:rPr>
        <w:t>Re:</w:t>
      </w:r>
    </w:p>
    <w:tbl>
      <w:tblPr>
        <w:tblW w:w="0" w:type="auto"/>
        <w:tblInd w:w="36" w:type="dxa"/>
        <w:tblLayout w:type="fixed"/>
        <w:tblCellMar>
          <w:left w:w="36" w:type="dxa"/>
          <w:right w:w="36" w:type="dxa"/>
        </w:tblCellMar>
        <w:tblLook w:val="0000"/>
      </w:tblPr>
      <w:tblGrid>
        <w:gridCol w:w="2385"/>
        <w:gridCol w:w="7737"/>
      </w:tblGrid>
      <w:tr w:rsidR="00B33C25" w:rsidRPr="00B33C25">
        <w:tc>
          <w:tcPr>
            <w:tcW w:w="2385" w:type="dxa"/>
            <w:tcBorders>
              <w:top w:val="nil"/>
              <w:left w:val="nil"/>
              <w:bottom w:val="nil"/>
              <w:right w:val="nil"/>
            </w:tcBorders>
          </w:tcPr>
          <w:p w:rsidR="00B33C25" w:rsidRPr="00B33C25" w:rsidRDefault="00B33C25" w:rsidP="00B33C25">
            <w:pPr>
              <w:widowControl w:val="0"/>
              <w:tabs>
                <w:tab w:val="left" w:pos="720"/>
                <w:tab w:val="left" w:pos="1440"/>
                <w:tab w:val="left" w:pos="2527"/>
                <w:tab w:val="left" w:pos="3600"/>
                <w:tab w:val="left" w:pos="4320"/>
                <w:tab w:val="left" w:pos="5040"/>
                <w:tab w:val="left" w:pos="5760"/>
                <w:tab w:val="left" w:pos="6480"/>
                <w:tab w:val="left" w:pos="7200"/>
                <w:tab w:val="left" w:pos="7920"/>
                <w:tab w:val="left" w:pos="8640"/>
                <w:tab w:val="left" w:pos="9360"/>
                <w:tab w:val="left" w:pos="10080"/>
                <w:tab w:val="left" w:pos="10206"/>
              </w:tabs>
              <w:autoSpaceDE w:val="0"/>
              <w:autoSpaceDN w:val="0"/>
              <w:adjustRightInd w:val="0"/>
              <w:spacing w:after="72" w:line="240" w:lineRule="auto"/>
              <w:ind w:right="57"/>
              <w:rPr>
                <w:rFonts w:ascii="Calibri" w:hAnsi="Calibri" w:cs="Calibri"/>
                <w:b/>
                <w:bCs/>
                <w:sz w:val="21"/>
                <w:szCs w:val="21"/>
              </w:rPr>
            </w:pPr>
            <w:r w:rsidRPr="00B33C25">
              <w:rPr>
                <w:rFonts w:ascii="Calibri" w:hAnsi="Calibri" w:cs="Calibri"/>
                <w:b/>
                <w:bCs/>
                <w:sz w:val="21"/>
                <w:szCs w:val="21"/>
              </w:rPr>
              <w:t>Application Number:</w:t>
            </w:r>
          </w:p>
        </w:tc>
        <w:tc>
          <w:tcPr>
            <w:tcW w:w="7737" w:type="dxa"/>
            <w:tcBorders>
              <w:top w:val="nil"/>
              <w:left w:val="nil"/>
              <w:bottom w:val="nil"/>
              <w:right w:val="nil"/>
            </w:tcBorders>
          </w:tcPr>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576"/>
              <w:rPr>
                <w:rFonts w:ascii="Calibri" w:hAnsi="Calibri" w:cs="Calibri"/>
                <w:b/>
                <w:bCs/>
                <w:sz w:val="21"/>
                <w:szCs w:val="21"/>
              </w:rPr>
            </w:pPr>
            <w:r w:rsidRPr="00B33C25">
              <w:rPr>
                <w:rFonts w:ascii="Calibri" w:hAnsi="Calibri" w:cs="Calibri"/>
                <w:sz w:val="21"/>
                <w:szCs w:val="21"/>
              </w:rPr>
              <w:t>PL2015130</w:t>
            </w:r>
          </w:p>
        </w:tc>
      </w:tr>
      <w:tr w:rsidR="00B33C25" w:rsidRPr="00B33C25">
        <w:tc>
          <w:tcPr>
            <w:tcW w:w="2385" w:type="dxa"/>
            <w:tcBorders>
              <w:top w:val="nil"/>
              <w:left w:val="nil"/>
              <w:bottom w:val="nil"/>
              <w:right w:val="nil"/>
            </w:tcBorders>
          </w:tcPr>
          <w:p w:rsidR="00B33C25" w:rsidRPr="00B33C25" w:rsidRDefault="00B33C25" w:rsidP="00B33C25">
            <w:pPr>
              <w:widowControl w:val="0"/>
              <w:tabs>
                <w:tab w:val="left" w:pos="720"/>
                <w:tab w:val="left" w:pos="1440"/>
                <w:tab w:val="left" w:pos="2160"/>
                <w:tab w:val="left" w:pos="2354"/>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115"/>
              <w:rPr>
                <w:rFonts w:ascii="Calibri" w:hAnsi="Calibri" w:cs="Calibri"/>
                <w:b/>
                <w:bCs/>
                <w:sz w:val="21"/>
                <w:szCs w:val="21"/>
              </w:rPr>
            </w:pPr>
            <w:r w:rsidRPr="00B33C25">
              <w:rPr>
                <w:rFonts w:ascii="Calibri" w:hAnsi="Calibri" w:cs="Calibri"/>
                <w:b/>
                <w:bCs/>
                <w:sz w:val="21"/>
                <w:szCs w:val="21"/>
              </w:rPr>
              <w:t>Application Type:</w:t>
            </w:r>
          </w:p>
        </w:tc>
        <w:tc>
          <w:tcPr>
            <w:tcW w:w="7737" w:type="dxa"/>
            <w:tcBorders>
              <w:top w:val="nil"/>
              <w:left w:val="nil"/>
              <w:bottom w:val="nil"/>
              <w:right w:val="nil"/>
            </w:tcBorders>
          </w:tcPr>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576"/>
              <w:rPr>
                <w:rFonts w:ascii="Calibri" w:hAnsi="Calibri" w:cs="Calibri"/>
                <w:sz w:val="21"/>
                <w:szCs w:val="21"/>
              </w:rPr>
            </w:pPr>
            <w:r w:rsidRPr="00B33C25">
              <w:rPr>
                <w:rFonts w:ascii="Calibri" w:hAnsi="Calibri" w:cs="Calibri"/>
                <w:sz w:val="21"/>
                <w:szCs w:val="21"/>
              </w:rPr>
              <w:t xml:space="preserve">Preliminary Plat </w:t>
            </w:r>
          </w:p>
        </w:tc>
      </w:tr>
      <w:tr w:rsidR="00B33C25" w:rsidRPr="00B33C25">
        <w:tc>
          <w:tcPr>
            <w:tcW w:w="2385" w:type="dxa"/>
            <w:tcBorders>
              <w:top w:val="nil"/>
              <w:left w:val="nil"/>
              <w:bottom w:val="nil"/>
              <w:right w:val="nil"/>
            </w:tcBorders>
          </w:tcPr>
          <w:p w:rsidR="00B33C25" w:rsidRPr="00B33C25" w:rsidRDefault="00B33C25" w:rsidP="00B33C25">
            <w:pPr>
              <w:widowControl w:val="0"/>
              <w:tabs>
                <w:tab w:val="left" w:pos="720"/>
                <w:tab w:val="left" w:pos="1440"/>
                <w:tab w:val="left" w:pos="2160"/>
                <w:tab w:val="left" w:pos="2354"/>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86"/>
              <w:rPr>
                <w:rFonts w:ascii="Calibri" w:hAnsi="Calibri" w:cs="Calibri"/>
                <w:b/>
                <w:bCs/>
                <w:sz w:val="21"/>
                <w:szCs w:val="21"/>
              </w:rPr>
            </w:pPr>
            <w:r w:rsidRPr="00B33C25">
              <w:rPr>
                <w:rFonts w:ascii="Calibri" w:hAnsi="Calibri" w:cs="Calibri"/>
                <w:b/>
                <w:bCs/>
                <w:sz w:val="21"/>
                <w:szCs w:val="21"/>
              </w:rPr>
              <w:t>Application Name:</w:t>
            </w:r>
          </w:p>
        </w:tc>
        <w:tc>
          <w:tcPr>
            <w:tcW w:w="7737" w:type="dxa"/>
            <w:tcBorders>
              <w:top w:val="nil"/>
              <w:left w:val="nil"/>
              <w:bottom w:val="nil"/>
              <w:right w:val="nil"/>
            </w:tcBorders>
          </w:tcPr>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576"/>
              <w:rPr>
                <w:rFonts w:ascii="Calibri" w:hAnsi="Calibri" w:cs="Calibri"/>
                <w:sz w:val="21"/>
                <w:szCs w:val="21"/>
              </w:rPr>
            </w:pPr>
            <w:r w:rsidRPr="00B33C25">
              <w:rPr>
                <w:rFonts w:ascii="Calibri" w:hAnsi="Calibri" w:cs="Calibri"/>
                <w:sz w:val="21"/>
                <w:szCs w:val="21"/>
              </w:rPr>
              <w:t>Napa Valley, 2nd plat</w:t>
            </w:r>
          </w:p>
        </w:tc>
      </w:tr>
      <w:tr w:rsidR="00B33C25" w:rsidRPr="00B33C25">
        <w:tc>
          <w:tcPr>
            <w:tcW w:w="2385" w:type="dxa"/>
            <w:tcBorders>
              <w:top w:val="nil"/>
              <w:left w:val="nil"/>
              <w:bottom w:val="single" w:sz="8" w:space="0" w:color="auto"/>
              <w:right w:val="nil"/>
            </w:tcBorders>
          </w:tcPr>
          <w:p w:rsidR="00B33C25" w:rsidRPr="00B33C25" w:rsidRDefault="00B33C25" w:rsidP="00B33C25">
            <w:pPr>
              <w:widowControl w:val="0"/>
              <w:tabs>
                <w:tab w:val="left" w:pos="720"/>
                <w:tab w:val="left" w:pos="1440"/>
                <w:tab w:val="left" w:pos="2160"/>
                <w:tab w:val="left" w:pos="238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576"/>
              <w:rPr>
                <w:rFonts w:ascii="Calibri" w:hAnsi="Calibri" w:cs="Calibri"/>
                <w:b/>
                <w:bCs/>
                <w:sz w:val="21"/>
                <w:szCs w:val="21"/>
              </w:rPr>
            </w:pPr>
            <w:r w:rsidRPr="00B33C25">
              <w:rPr>
                <w:rFonts w:ascii="Calibri" w:hAnsi="Calibri" w:cs="Calibri"/>
                <w:b/>
                <w:bCs/>
                <w:sz w:val="21"/>
                <w:szCs w:val="21"/>
              </w:rPr>
              <w:t>Location:</w:t>
            </w:r>
          </w:p>
        </w:tc>
        <w:tc>
          <w:tcPr>
            <w:tcW w:w="7737" w:type="dxa"/>
            <w:tcBorders>
              <w:top w:val="nil"/>
              <w:left w:val="nil"/>
              <w:bottom w:val="single" w:sz="8" w:space="0" w:color="auto"/>
              <w:right w:val="nil"/>
            </w:tcBorders>
          </w:tcPr>
          <w:p w:rsidR="00B33C25" w:rsidRPr="00B33C25" w:rsidRDefault="00B33C25" w:rsidP="00B33C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ind w:right="576"/>
              <w:rPr>
                <w:rFonts w:ascii="Calibri" w:hAnsi="Calibri" w:cs="Calibri"/>
                <w:sz w:val="21"/>
                <w:szCs w:val="21"/>
              </w:rPr>
            </w:pPr>
          </w:p>
        </w:tc>
      </w:tr>
    </w:tbl>
    <w:p w:rsidR="00B33C25" w:rsidRPr="00B33C25" w:rsidRDefault="00B33C25" w:rsidP="00B33C25">
      <w:pPr>
        <w:tabs>
          <w:tab w:val="left" w:pos="720"/>
        </w:tabs>
        <w:autoSpaceDE w:val="0"/>
        <w:autoSpaceDN w:val="0"/>
        <w:adjustRightInd w:val="0"/>
        <w:spacing w:after="0" w:line="240" w:lineRule="auto"/>
        <w:rPr>
          <w:rFonts w:ascii="Calibri" w:hAnsi="Calibri" w:cs="Calibri"/>
          <w:sz w:val="12"/>
          <w:szCs w:val="12"/>
        </w:rPr>
      </w:pPr>
    </w:p>
    <w:p w:rsidR="00B33C25" w:rsidRPr="00B33C25" w:rsidRDefault="00B33C25" w:rsidP="00B33C25">
      <w:pPr>
        <w:keepNext/>
        <w:tabs>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outlineLvl w:val="0"/>
        <w:rPr>
          <w:rFonts w:ascii="Calibri" w:hAnsi="Calibri" w:cs="Calibri"/>
          <w:b/>
          <w:bCs/>
          <w:sz w:val="24"/>
          <w:szCs w:val="24"/>
        </w:rPr>
      </w:pPr>
      <w:r w:rsidRPr="00B33C25">
        <w:rPr>
          <w:rFonts w:ascii="Calibri" w:hAnsi="Calibri" w:cs="Calibri"/>
          <w:b/>
          <w:bCs/>
          <w:sz w:val="24"/>
          <w:szCs w:val="24"/>
        </w:rPr>
        <w:t>Tentative Schedule</w:t>
      </w:r>
    </w:p>
    <w:p w:rsidR="00B33C25" w:rsidRPr="00B33C25" w:rsidRDefault="00B33C25" w:rsidP="00B33C25">
      <w:pPr>
        <w:keepN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72" w:line="240" w:lineRule="auto"/>
        <w:rPr>
          <w:rFonts w:ascii="Calibri" w:hAnsi="Calibri" w:cs="Calibri"/>
        </w:rPr>
      </w:pPr>
      <w:r w:rsidRPr="00B33C25">
        <w:rPr>
          <w:rFonts w:ascii="Calibri" w:hAnsi="Calibri" w:cs="Calibri"/>
          <w:sz w:val="21"/>
          <w:szCs w:val="21"/>
        </w:rPr>
        <w:t xml:space="preserve">Submit revised plans by noon on Tuesday, November 10, 2015 (4 paper copies, 1 reduced (8 ½ x 11 copy). </w:t>
      </w:r>
      <w:r w:rsidRPr="00B33C25">
        <w:rPr>
          <w:rFonts w:ascii="Calibri" w:hAnsi="Calibri" w:cs="Calibri"/>
          <w:sz w:val="10"/>
          <w:szCs w:val="10"/>
        </w:rPr>
        <w:t xml:space="preserve"> </w:t>
      </w:r>
    </w:p>
    <w:tbl>
      <w:tblPr>
        <w:tblW w:w="0" w:type="auto"/>
        <w:tblInd w:w="36" w:type="dxa"/>
        <w:tblLayout w:type="fixed"/>
        <w:tblCellMar>
          <w:left w:w="36" w:type="dxa"/>
          <w:right w:w="36" w:type="dxa"/>
        </w:tblCellMar>
        <w:tblLook w:val="0000"/>
      </w:tblPr>
      <w:tblGrid>
        <w:gridCol w:w="5592"/>
        <w:gridCol w:w="3768"/>
      </w:tblGrid>
      <w:tr w:rsidR="00B33C25" w:rsidRPr="00B33C25">
        <w:tc>
          <w:tcPr>
            <w:tcW w:w="5592"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Applicant Meeting 09/23/2015 09:00 AM:</w:t>
            </w:r>
          </w:p>
        </w:tc>
        <w:tc>
          <w:tcPr>
            <w:tcW w:w="3768"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09/23/2015 12:00 AM</w:t>
            </w:r>
          </w:p>
        </w:tc>
      </w:tr>
    </w:tbl>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rPr>
      </w:pPr>
      <w:r w:rsidRPr="00B33C25">
        <w:rPr>
          <w:rFonts w:ascii="Calibri" w:hAnsi="Calibri" w:cs="Calibri"/>
          <w:sz w:val="10"/>
          <w:szCs w:val="10"/>
        </w:rPr>
        <w:t xml:space="preserve"> </w:t>
      </w:r>
    </w:p>
    <w:tbl>
      <w:tblPr>
        <w:tblW w:w="0" w:type="auto"/>
        <w:tblInd w:w="36" w:type="dxa"/>
        <w:tblLayout w:type="fixed"/>
        <w:tblCellMar>
          <w:left w:w="36" w:type="dxa"/>
          <w:right w:w="36" w:type="dxa"/>
        </w:tblCellMar>
        <w:tblLook w:val="0000"/>
      </w:tblPr>
      <w:tblGrid>
        <w:gridCol w:w="5592"/>
        <w:gridCol w:w="3768"/>
      </w:tblGrid>
      <w:tr w:rsidR="00B33C25" w:rsidRPr="00B33C25">
        <w:tc>
          <w:tcPr>
            <w:tcW w:w="5592"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Planning Commission Meeting 11/24/2015 05:00 PM:</w:t>
            </w:r>
          </w:p>
        </w:tc>
        <w:tc>
          <w:tcPr>
            <w:tcW w:w="3768"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11/24/2015 12:00 AM</w:t>
            </w:r>
          </w:p>
        </w:tc>
      </w:tr>
    </w:tbl>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rPr>
      </w:pPr>
      <w:r w:rsidRPr="00B33C25">
        <w:rPr>
          <w:rFonts w:ascii="Calibri" w:hAnsi="Calibri" w:cs="Calibri"/>
          <w:sz w:val="10"/>
          <w:szCs w:val="10"/>
        </w:rPr>
        <w:t xml:space="preserve"> </w:t>
      </w:r>
    </w:p>
    <w:tbl>
      <w:tblPr>
        <w:tblW w:w="0" w:type="auto"/>
        <w:tblInd w:w="36" w:type="dxa"/>
        <w:tblLayout w:type="fixed"/>
        <w:tblCellMar>
          <w:left w:w="36" w:type="dxa"/>
          <w:right w:w="36" w:type="dxa"/>
        </w:tblCellMar>
        <w:tblLook w:val="0000"/>
      </w:tblPr>
      <w:tblGrid>
        <w:gridCol w:w="5577"/>
        <w:gridCol w:w="3783"/>
      </w:tblGrid>
      <w:tr w:rsidR="00B33C25" w:rsidRPr="00B33C25">
        <w:tc>
          <w:tcPr>
            <w:tcW w:w="5577"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City Council Public Hearing 11/19/2015 06:15 PM:</w:t>
            </w:r>
          </w:p>
        </w:tc>
        <w:tc>
          <w:tcPr>
            <w:tcW w:w="3783"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12/17/2015 12:00 AM</w:t>
            </w:r>
          </w:p>
        </w:tc>
      </w:tr>
    </w:tbl>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rPr>
      </w:pPr>
      <w:r w:rsidRPr="00B33C25">
        <w:rPr>
          <w:rFonts w:ascii="Calibri" w:hAnsi="Calibri" w:cs="Calibri"/>
          <w:sz w:val="10"/>
          <w:szCs w:val="10"/>
        </w:rPr>
        <w:t xml:space="preserve"> </w:t>
      </w:r>
    </w:p>
    <w:tbl>
      <w:tblPr>
        <w:tblW w:w="0" w:type="auto"/>
        <w:tblInd w:w="36" w:type="dxa"/>
        <w:tblLayout w:type="fixed"/>
        <w:tblCellMar>
          <w:left w:w="36" w:type="dxa"/>
          <w:right w:w="36" w:type="dxa"/>
        </w:tblCellMar>
        <w:tblLook w:val="0000"/>
      </w:tblPr>
      <w:tblGrid>
        <w:gridCol w:w="5577"/>
        <w:gridCol w:w="3783"/>
      </w:tblGrid>
      <w:tr w:rsidR="00B33C25" w:rsidRPr="00B33C25">
        <w:tc>
          <w:tcPr>
            <w:tcW w:w="5577"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City Council Ordinance 12/03/2015 06:15 PM:</w:t>
            </w:r>
          </w:p>
        </w:tc>
        <w:tc>
          <w:tcPr>
            <w:tcW w:w="3783" w:type="dxa"/>
            <w:tcBorders>
              <w:top w:val="nil"/>
              <w:left w:val="nil"/>
              <w:bottom w:val="nil"/>
              <w:right w:val="nil"/>
            </w:tcBorders>
          </w:tcPr>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Calibri" w:hAnsi="Calibri" w:cs="Calibri"/>
                <w:sz w:val="21"/>
                <w:szCs w:val="21"/>
              </w:rPr>
            </w:pPr>
            <w:r w:rsidRPr="00B33C25">
              <w:rPr>
                <w:rFonts w:ascii="Calibri" w:hAnsi="Calibri" w:cs="Calibri"/>
                <w:b/>
                <w:bCs/>
                <w:sz w:val="21"/>
                <w:szCs w:val="21"/>
              </w:rPr>
              <w:t>01/07/2016 12:00 AM</w:t>
            </w:r>
          </w:p>
        </w:tc>
      </w:tr>
    </w:tbl>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Calibri" w:hAnsi="Calibri" w:cs="Calibri"/>
        </w:rPr>
      </w:pPr>
    </w:p>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sz w:val="21"/>
          <w:szCs w:val="21"/>
        </w:rPr>
        <w:t>If the revised submittal deadline is not met or plans are deficient, the item will be moved to a later meeting and a new deadline will be set.  Future deadlines and meeting dates can be found on the “Planning Commission Meeting Dates” handout.  Dates are subject to change; we will keep you informed throughout the process.</w:t>
      </w:r>
    </w:p>
    <w:p w:rsidR="00B33C25" w:rsidRPr="00B33C25" w:rsidRDefault="00B33C25" w:rsidP="00B33C25">
      <w:pPr>
        <w:keepNext/>
        <w:pBdr>
          <w:bottom w:val="single" w:sz="6" w:space="0" w:color="auto"/>
          <w:between w:val="single" w:sz="6" w:space="0" w:color="auto"/>
        </w:pBdr>
        <w:tabs>
          <w:tab w:val="left" w:pos="36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before="120" w:after="72" w:line="240" w:lineRule="auto"/>
        <w:jc w:val="both"/>
        <w:rPr>
          <w:rFonts w:ascii="Calibri" w:hAnsi="Calibri" w:cs="Calibri"/>
          <w:sz w:val="24"/>
          <w:szCs w:val="24"/>
        </w:rPr>
      </w:pPr>
      <w:r w:rsidRPr="00B33C25">
        <w:rPr>
          <w:rFonts w:ascii="Calibri" w:hAnsi="Calibri" w:cs="Calibri"/>
          <w:b/>
          <w:bCs/>
          <w:sz w:val="24"/>
          <w:szCs w:val="24"/>
        </w:rPr>
        <w:t>Excise Tax</w:t>
      </w:r>
    </w:p>
    <w:p w:rsidR="00B33C25" w:rsidRPr="00B33C25" w:rsidRDefault="00B33C25" w:rsidP="00B33C25">
      <w:pPr>
        <w:tabs>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120" w:line="240" w:lineRule="auto"/>
        <w:jc w:val="both"/>
        <w:rPr>
          <w:rFonts w:ascii="Calibri" w:hAnsi="Calibri" w:cs="Calibri"/>
          <w:sz w:val="21"/>
          <w:szCs w:val="21"/>
        </w:rPr>
      </w:pPr>
      <w:r w:rsidRPr="00B33C25">
        <w:rPr>
          <w:rFonts w:ascii="Calibri" w:hAnsi="Calibri" w:cs="Calibri"/>
          <w:sz w:val="21"/>
          <w:szCs w:val="21"/>
        </w:rPr>
        <w:t>On April 1, 1998, an excise tax on new development for road construction went into effect.  This tax is levied based on the type of development and trips generated.  If you require additional information about this development cost, as well as other permit costs and related fees, please contact the Permitting and Plan Review Division of the Codes Administration Department at 969-1200.</w:t>
      </w:r>
    </w:p>
    <w:p w:rsidR="00B33C25" w:rsidRPr="00B33C25" w:rsidRDefault="00B33C25" w:rsidP="00B33C25">
      <w:pPr>
        <w:keepNext/>
        <w:pBdr>
          <w:bottom w:val="single" w:sz="4" w:space="1" w:color="auto"/>
          <w:between w:val="single" w:sz="4" w:space="1" w:color="auto"/>
        </w:pBdr>
        <w:tabs>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72" w:line="240" w:lineRule="auto"/>
        <w:jc w:val="both"/>
        <w:rPr>
          <w:rFonts w:ascii="Calibri" w:hAnsi="Calibri" w:cs="Calibri"/>
          <w:b/>
          <w:bCs/>
          <w:sz w:val="24"/>
          <w:szCs w:val="24"/>
        </w:rPr>
      </w:pPr>
      <w:r w:rsidRPr="00B33C25">
        <w:rPr>
          <w:rFonts w:ascii="Calibri" w:hAnsi="Calibri" w:cs="Calibri"/>
          <w:b/>
          <w:bCs/>
          <w:sz w:val="24"/>
          <w:szCs w:val="24"/>
        </w:rPr>
        <w:t>Planning Commission and City Council Presentations</w:t>
      </w:r>
    </w:p>
    <w:p w:rsidR="00B33C25" w:rsidRPr="00B33C25" w:rsidRDefault="00B33C25" w:rsidP="00B33C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40" w:lineRule="auto"/>
        <w:jc w:val="both"/>
        <w:outlineLvl w:val="3"/>
        <w:rPr>
          <w:rFonts w:ascii="Calibri" w:hAnsi="Calibri" w:cs="Calibri"/>
          <w:sz w:val="21"/>
          <w:szCs w:val="21"/>
        </w:rPr>
      </w:pPr>
      <w:r w:rsidRPr="00B33C25">
        <w:rPr>
          <w:rFonts w:ascii="Calibri" w:hAnsi="Calibri" w:cs="Calibri"/>
          <w:sz w:val="21"/>
          <w:szCs w:val="21"/>
        </w:rPr>
        <w:t xml:space="preserve">Presentations before the Planning Commission and City Council shall be (1) in electronic format or (2) reduced drawings for use on the Document Camera to display on the screen.  Electronic presentations shall be on a laptop, CD ROM, DVD, or flash drive.  The City’s presentation system can support Word, Excel, Power Point, Adobe, Windows </w:t>
      </w:r>
      <w:r w:rsidRPr="00B33C25">
        <w:rPr>
          <w:rFonts w:ascii="Calibri" w:hAnsi="Calibri" w:cs="Calibri"/>
          <w:sz w:val="21"/>
          <w:szCs w:val="21"/>
        </w:rPr>
        <w:lastRenderedPageBreak/>
        <w:t>Media Player and Internet Explorer applications.  Presentation boards will no longer be allowed.  The presentation(s) shall be submitted to Planning and Development staff no later than the day of the Planning Commission meeting by 4 pm.</w:t>
      </w:r>
    </w:p>
    <w:p w:rsidR="00B33C25" w:rsidRPr="00B33C25" w:rsidRDefault="00B33C25" w:rsidP="00B33C2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72" w:line="240" w:lineRule="auto"/>
        <w:jc w:val="both"/>
        <w:outlineLvl w:val="3"/>
        <w:rPr>
          <w:rFonts w:ascii="Calibri" w:hAnsi="Calibri" w:cs="Calibri"/>
          <w:b/>
          <w:bCs/>
          <w:sz w:val="21"/>
          <w:szCs w:val="21"/>
        </w:rPr>
      </w:pPr>
      <w:r w:rsidRPr="00B33C25">
        <w:rPr>
          <w:rFonts w:ascii="Calibri" w:hAnsi="Calibri" w:cs="Calibri"/>
          <w:b/>
          <w:bCs/>
          <w:sz w:val="21"/>
          <w:szCs w:val="21"/>
        </w:rPr>
        <w:t>Notice Requirements</w:t>
      </w:r>
    </w:p>
    <w:p w:rsidR="00B33C25" w:rsidRPr="00B33C25" w:rsidRDefault="00B33C25" w:rsidP="00B33C25">
      <w:pPr>
        <w:keepNext/>
        <w:keepLines/>
        <w:numPr>
          <w:ilvl w:val="0"/>
          <w:numId w:val="1"/>
        </w:numPr>
        <w:tabs>
          <w:tab w:val="left" w:pos="360"/>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b/>
          <w:bCs/>
          <w:sz w:val="21"/>
          <w:szCs w:val="21"/>
        </w:rPr>
        <w:t>Notification of Surrounding Property Owners.</w:t>
      </w:r>
      <w:r w:rsidRPr="00B33C25">
        <w:rPr>
          <w:rFonts w:ascii="Calibri" w:hAnsi="Calibri" w:cs="Calibri"/>
          <w:sz w:val="21"/>
          <w:szCs w:val="21"/>
        </w:rPr>
        <w:t xml:space="preserve"> </w:t>
      </w:r>
    </w:p>
    <w:p w:rsidR="00B33C25" w:rsidRPr="00B33C25" w:rsidRDefault="00B33C25" w:rsidP="00B33C25">
      <w:pPr>
        <w:numPr>
          <w:ilvl w:val="0"/>
          <w:numId w:val="2"/>
        </w:numPr>
        <w:tabs>
          <w:tab w:val="left" w:pos="72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Calibri" w:hAnsi="Calibri" w:cs="Calibri"/>
          <w:sz w:val="21"/>
          <w:szCs w:val="21"/>
        </w:rPr>
      </w:pPr>
      <w:r w:rsidRPr="00B33C25">
        <w:rPr>
          <w:rFonts w:ascii="Calibri" w:hAnsi="Calibri" w:cs="Calibri"/>
          <w:b/>
          <w:bCs/>
          <w:sz w:val="21"/>
          <w:szCs w:val="21"/>
        </w:rPr>
        <w:t xml:space="preserve">Mail Notices.  </w:t>
      </w:r>
      <w:r w:rsidRPr="00B33C25">
        <w:rPr>
          <w:rFonts w:ascii="Calibri" w:hAnsi="Calibri" w:cs="Calibri"/>
          <w:sz w:val="21"/>
          <w:szCs w:val="21"/>
        </w:rPr>
        <w:t xml:space="preserve">The applicant must mail letter notices to all property owners within 185 feet at least 15 days prior to the hearing.  Sample notices are available.  The notice must include: </w:t>
      </w:r>
    </w:p>
    <w:p w:rsidR="00B33C25" w:rsidRPr="00B33C25" w:rsidRDefault="00B33C25" w:rsidP="00B33C25">
      <w:pPr>
        <w:numPr>
          <w:ilvl w:val="0"/>
          <w:numId w:val="3"/>
        </w:numPr>
        <w:tabs>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 xml:space="preserve">time and place of hearing, </w:t>
      </w:r>
    </w:p>
    <w:p w:rsidR="00B33C25" w:rsidRPr="00B33C25" w:rsidRDefault="00B33C25" w:rsidP="00B33C25">
      <w:pPr>
        <w:numPr>
          <w:ilvl w:val="0"/>
          <w:numId w:val="3"/>
        </w:numPr>
        <w:tabs>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 xml:space="preserve">general description of the proposal, </w:t>
      </w:r>
    </w:p>
    <w:p w:rsidR="00B33C25" w:rsidRPr="00B33C25" w:rsidRDefault="00B33C25" w:rsidP="00B33C25">
      <w:pPr>
        <w:numPr>
          <w:ilvl w:val="0"/>
          <w:numId w:val="3"/>
        </w:numPr>
        <w:tabs>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 xml:space="preserve">location map of the property, </w:t>
      </w:r>
    </w:p>
    <w:p w:rsidR="00B33C25" w:rsidRPr="00B33C25" w:rsidRDefault="00B33C25" w:rsidP="00B33C25">
      <w:pPr>
        <w:numPr>
          <w:ilvl w:val="0"/>
          <w:numId w:val="3"/>
        </w:numPr>
        <w:tabs>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street address, or general street location</w:t>
      </w:r>
    </w:p>
    <w:p w:rsidR="00B33C25" w:rsidRPr="00B33C25" w:rsidRDefault="00B33C25" w:rsidP="00B33C25">
      <w:pPr>
        <w:numPr>
          <w:ilvl w:val="0"/>
          <w:numId w:val="3"/>
        </w:numPr>
        <w:tabs>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sz w:val="21"/>
          <w:szCs w:val="21"/>
        </w:rPr>
        <w:t>statement explaining that the public will have an opportunity to be heard</w:t>
      </w:r>
    </w:p>
    <w:p w:rsidR="00B33C25" w:rsidRPr="00B33C25" w:rsidRDefault="00B33C25" w:rsidP="00B33C25">
      <w:pPr>
        <w:numPr>
          <w:ilvl w:val="0"/>
          <w:numId w:val="4"/>
        </w:numPr>
        <w:tabs>
          <w:tab w:val="left" w:pos="72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b/>
          <w:bCs/>
          <w:sz w:val="21"/>
          <w:szCs w:val="21"/>
        </w:rPr>
        <w:t xml:space="preserve">File Affidavit.  </w:t>
      </w:r>
      <w:r w:rsidRPr="00B33C25">
        <w:rPr>
          <w:rFonts w:ascii="Calibri" w:hAnsi="Calibri" w:cs="Calibri"/>
          <w:sz w:val="21"/>
          <w:szCs w:val="21"/>
        </w:rPr>
        <w:t xml:space="preserve">An affidavit must be filed with the Planning and Development Department prior to the public hearing certifying the notices </w:t>
      </w:r>
      <w:proofErr w:type="gramStart"/>
      <w:r w:rsidRPr="00B33C25">
        <w:rPr>
          <w:rFonts w:ascii="Calibri" w:hAnsi="Calibri" w:cs="Calibri"/>
          <w:sz w:val="21"/>
          <w:szCs w:val="21"/>
        </w:rPr>
        <w:t>have</w:t>
      </w:r>
      <w:proofErr w:type="gramEnd"/>
      <w:r w:rsidRPr="00B33C25">
        <w:rPr>
          <w:rFonts w:ascii="Calibri" w:hAnsi="Calibri" w:cs="Calibri"/>
          <w:sz w:val="21"/>
          <w:szCs w:val="21"/>
        </w:rPr>
        <w:t xml:space="preserve"> been sent.  Provide a list of the property owners notified and a copy of the notice sent.</w:t>
      </w:r>
    </w:p>
    <w:p w:rsidR="00B33C25" w:rsidRPr="00B33C25" w:rsidRDefault="00B33C25" w:rsidP="00B33C25">
      <w:pPr>
        <w:numPr>
          <w:ilvl w:val="0"/>
          <w:numId w:val="1"/>
        </w:numPr>
        <w:tabs>
          <w:tab w:val="left" w:pos="360"/>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b/>
          <w:bCs/>
          <w:sz w:val="21"/>
          <w:szCs w:val="21"/>
        </w:rPr>
        <w:t>Notice Signs.</w:t>
      </w:r>
      <w:r w:rsidRPr="00B33C25">
        <w:rPr>
          <w:rFonts w:ascii="Calibri" w:hAnsi="Calibri" w:cs="Calibri"/>
          <w:sz w:val="21"/>
          <w:szCs w:val="21"/>
        </w:rPr>
        <w:t xml:space="preserve">  </w:t>
      </w:r>
    </w:p>
    <w:p w:rsidR="00B33C25" w:rsidRPr="00B33C25" w:rsidRDefault="00B33C25" w:rsidP="00B33C25">
      <w:pPr>
        <w:numPr>
          <w:ilvl w:val="0"/>
          <w:numId w:val="4"/>
        </w:numPr>
        <w:tabs>
          <w:tab w:val="left" w:pos="72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72" w:line="240" w:lineRule="auto"/>
        <w:jc w:val="both"/>
        <w:rPr>
          <w:rFonts w:ascii="Calibri" w:hAnsi="Calibri" w:cs="Calibri"/>
          <w:sz w:val="21"/>
          <w:szCs w:val="21"/>
        </w:rPr>
      </w:pPr>
      <w:r w:rsidRPr="00B33C25">
        <w:rPr>
          <w:rFonts w:ascii="Calibri" w:hAnsi="Calibri" w:cs="Calibri"/>
          <w:b/>
          <w:bCs/>
          <w:sz w:val="21"/>
          <w:szCs w:val="21"/>
        </w:rPr>
        <w:t xml:space="preserve">Post Sign.  </w:t>
      </w:r>
      <w:r w:rsidRPr="00B33C25">
        <w:rPr>
          <w:rFonts w:ascii="Calibri" w:hAnsi="Calibri" w:cs="Calibri"/>
          <w:sz w:val="21"/>
          <w:szCs w:val="21"/>
        </w:rPr>
        <w:t>The applicant shall post a sign on the premises, at least 15 days prior to the date of the hearing, informing the general public of the time and place of the public hearing.  When revised plans are submitted, staff will prepare the sign and provide it to the applicant for posting.</w:t>
      </w:r>
    </w:p>
    <w:p w:rsidR="00B33C25" w:rsidRPr="00B33C25" w:rsidRDefault="00B33C25" w:rsidP="00B33C25">
      <w:pPr>
        <w:numPr>
          <w:ilvl w:val="0"/>
          <w:numId w:val="4"/>
        </w:numPr>
        <w:tabs>
          <w:tab w:val="left" w:pos="72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autoSpaceDE w:val="0"/>
        <w:autoSpaceDN w:val="0"/>
        <w:adjustRightInd w:val="0"/>
        <w:spacing w:after="144" w:line="240" w:lineRule="auto"/>
        <w:jc w:val="both"/>
        <w:rPr>
          <w:rFonts w:ascii="Calibri" w:hAnsi="Calibri" w:cs="Calibri"/>
          <w:sz w:val="21"/>
          <w:szCs w:val="21"/>
        </w:rPr>
      </w:pPr>
      <w:r w:rsidRPr="00B33C25">
        <w:rPr>
          <w:rFonts w:ascii="Calibri" w:hAnsi="Calibri" w:cs="Calibri"/>
          <w:b/>
          <w:bCs/>
          <w:sz w:val="21"/>
          <w:szCs w:val="21"/>
        </w:rPr>
        <w:t xml:space="preserve">Maintain Sign.  </w:t>
      </w:r>
      <w:r w:rsidRPr="00B33C25">
        <w:rPr>
          <w:rFonts w:ascii="Calibri" w:hAnsi="Calibri" w:cs="Calibri"/>
          <w:sz w:val="21"/>
          <w:szCs w:val="21"/>
        </w:rPr>
        <w:t>The applicant shall make a good faith effort to maintain the sign for at least the 15 days immediately preceding the date of the hearing, through the hearing, and through any continuances of the hearing.  The sign shall be placed within 5 feet of the street right-of-way line in a central position on the property that is the subject of the hearing.  The sign shall be readily visible to the public.  If the property contains more than one street frontage, one sign shall be placed on each street frontage so as to face each of the streets abutting the land. The sign may be removed at the conclusion of the public hearing(s) and must be removed at the end of all proceedings on the application or upon withdrawal of the application.</w:t>
      </w:r>
    </w:p>
    <w:p w:rsidR="00B33C25" w:rsidRPr="00B33C25" w:rsidRDefault="00B33C25" w:rsidP="00B33C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44" w:line="240" w:lineRule="auto"/>
        <w:jc w:val="both"/>
        <w:outlineLvl w:val="3"/>
        <w:rPr>
          <w:rFonts w:ascii="Calibri" w:hAnsi="Calibri" w:cs="Calibri"/>
          <w:b/>
          <w:bCs/>
          <w:sz w:val="10"/>
          <w:szCs w:val="10"/>
        </w:rPr>
      </w:pPr>
      <w:r w:rsidRPr="00B33C25">
        <w:rPr>
          <w:rFonts w:ascii="Calibri" w:hAnsi="Calibri" w:cs="Calibri"/>
          <w:b/>
          <w:bCs/>
          <w:sz w:val="24"/>
          <w:szCs w:val="24"/>
          <w:u w:val="single"/>
        </w:rPr>
        <w:t>Analysis of Preliminary Plat:</w:t>
      </w:r>
    </w:p>
    <w:tbl>
      <w:tblPr>
        <w:tblW w:w="0" w:type="auto"/>
        <w:tblInd w:w="48" w:type="dxa"/>
        <w:tblLayout w:type="fixed"/>
        <w:tblCellMar>
          <w:left w:w="36" w:type="dxa"/>
          <w:right w:w="36" w:type="dxa"/>
        </w:tblCellMar>
        <w:tblLook w:val="0000"/>
      </w:tblPr>
      <w:tblGrid>
        <w:gridCol w:w="2176"/>
        <w:gridCol w:w="2144"/>
        <w:gridCol w:w="3240"/>
        <w:gridCol w:w="2580"/>
      </w:tblGrid>
      <w:tr w:rsidR="00B33C25" w:rsidRPr="00B33C25">
        <w:tc>
          <w:tcPr>
            <w:tcW w:w="2176" w:type="dxa"/>
            <w:tcBorders>
              <w:top w:val="nil"/>
              <w:left w:val="nil"/>
              <w:bottom w:val="nil"/>
              <w:right w:val="nil"/>
            </w:tcBorders>
          </w:tcPr>
          <w:p w:rsidR="00B33C25" w:rsidRPr="00B33C25" w:rsidRDefault="00B33C25" w:rsidP="00B33C2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outlineLvl w:val="3"/>
              <w:rPr>
                <w:rFonts w:ascii="Calibri" w:hAnsi="Calibri" w:cs="Calibri"/>
                <w:b/>
                <w:bCs/>
                <w:sz w:val="21"/>
                <w:szCs w:val="21"/>
              </w:rPr>
            </w:pPr>
            <w:r w:rsidRPr="00B33C25">
              <w:rPr>
                <w:rFonts w:ascii="Calibri" w:hAnsi="Calibri" w:cs="Calibri"/>
                <w:b/>
                <w:bCs/>
                <w:sz w:val="21"/>
                <w:szCs w:val="21"/>
              </w:rPr>
              <w:t>Traffic Review</w:t>
            </w:r>
          </w:p>
        </w:tc>
        <w:tc>
          <w:tcPr>
            <w:tcW w:w="2144"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Michael Park</w:t>
            </w:r>
          </w:p>
        </w:tc>
        <w:tc>
          <w:tcPr>
            <w:tcW w:w="324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City Traffic Engineer</w:t>
            </w:r>
          </w:p>
        </w:tc>
        <w:tc>
          <w:tcPr>
            <w:tcW w:w="258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Pending</w:t>
            </w:r>
          </w:p>
        </w:tc>
      </w:tr>
      <w:tr w:rsidR="00B33C25" w:rsidRPr="00B33C25">
        <w:tc>
          <w:tcPr>
            <w:tcW w:w="2176" w:type="dxa"/>
            <w:tcBorders>
              <w:top w:val="nil"/>
              <w:left w:val="nil"/>
              <w:bottom w:val="single" w:sz="6" w:space="0" w:color="auto"/>
              <w:right w:val="nil"/>
            </w:tcBorders>
          </w:tcPr>
          <w:p w:rsidR="00B33C25" w:rsidRPr="00B33C25" w:rsidRDefault="00B33C25" w:rsidP="00B33C25">
            <w:pPr>
              <w:keepLines/>
              <w:pBdr>
                <w:bottom w:val="single" w:sz="6" w:space="0" w:color="auto"/>
                <w:between w:val="single" w:sz="6" w:space="0"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c>
          <w:tcPr>
            <w:tcW w:w="2144"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(816) 969-1820</w:t>
            </w:r>
          </w:p>
        </w:tc>
        <w:tc>
          <w:tcPr>
            <w:tcW w:w="324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Michael.Park@citlyofls.net</w:t>
            </w:r>
          </w:p>
        </w:tc>
        <w:tc>
          <w:tcPr>
            <w:tcW w:w="258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r>
    </w:tbl>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10"/>
          <w:szCs w:val="10"/>
        </w:rPr>
      </w:pPr>
    </w:p>
    <w:tbl>
      <w:tblPr>
        <w:tblW w:w="0" w:type="auto"/>
        <w:tblInd w:w="48" w:type="dxa"/>
        <w:tblLayout w:type="fixed"/>
        <w:tblCellMar>
          <w:left w:w="36" w:type="dxa"/>
          <w:right w:w="36" w:type="dxa"/>
        </w:tblCellMar>
        <w:tblLook w:val="0000"/>
      </w:tblPr>
      <w:tblGrid>
        <w:gridCol w:w="2176"/>
        <w:gridCol w:w="2144"/>
        <w:gridCol w:w="3240"/>
        <w:gridCol w:w="2580"/>
      </w:tblGrid>
      <w:tr w:rsidR="00B33C25" w:rsidRPr="00B33C25">
        <w:tc>
          <w:tcPr>
            <w:tcW w:w="2176" w:type="dxa"/>
            <w:tcBorders>
              <w:top w:val="nil"/>
              <w:left w:val="nil"/>
              <w:bottom w:val="nil"/>
              <w:right w:val="nil"/>
            </w:tcBorders>
          </w:tcPr>
          <w:p w:rsidR="00B33C25" w:rsidRPr="00B33C25" w:rsidRDefault="00B33C25" w:rsidP="00B33C2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outlineLvl w:val="3"/>
              <w:rPr>
                <w:rFonts w:ascii="Calibri" w:hAnsi="Calibri" w:cs="Calibri"/>
                <w:b/>
                <w:bCs/>
                <w:sz w:val="21"/>
                <w:szCs w:val="21"/>
              </w:rPr>
            </w:pPr>
            <w:r w:rsidRPr="00B33C25">
              <w:rPr>
                <w:rFonts w:ascii="Calibri" w:hAnsi="Calibri" w:cs="Calibri"/>
                <w:b/>
                <w:bCs/>
                <w:sz w:val="21"/>
                <w:szCs w:val="21"/>
              </w:rPr>
              <w:t>Planning Review</w:t>
            </w:r>
          </w:p>
        </w:tc>
        <w:tc>
          <w:tcPr>
            <w:tcW w:w="2144"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Ron Seyl</w:t>
            </w:r>
          </w:p>
        </w:tc>
        <w:tc>
          <w:tcPr>
            <w:tcW w:w="324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Planner</w:t>
            </w:r>
          </w:p>
        </w:tc>
        <w:tc>
          <w:tcPr>
            <w:tcW w:w="258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Corrections</w:t>
            </w:r>
          </w:p>
        </w:tc>
      </w:tr>
      <w:tr w:rsidR="00B33C25" w:rsidRPr="00B33C25">
        <w:tc>
          <w:tcPr>
            <w:tcW w:w="2176" w:type="dxa"/>
            <w:tcBorders>
              <w:top w:val="nil"/>
              <w:left w:val="nil"/>
              <w:bottom w:val="single" w:sz="6" w:space="0" w:color="auto"/>
              <w:right w:val="nil"/>
            </w:tcBorders>
          </w:tcPr>
          <w:p w:rsidR="00B33C25" w:rsidRPr="00B33C25" w:rsidRDefault="00B33C25" w:rsidP="00B33C25">
            <w:pPr>
              <w:keepLines/>
              <w:pBdr>
                <w:bottom w:val="single" w:sz="6" w:space="0" w:color="auto"/>
                <w:between w:val="single" w:sz="6" w:space="0"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c>
          <w:tcPr>
            <w:tcW w:w="2144"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(816) 969-1603</w:t>
            </w:r>
          </w:p>
        </w:tc>
        <w:tc>
          <w:tcPr>
            <w:tcW w:w="324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Ron.Seyl@cityofls.net</w:t>
            </w:r>
          </w:p>
        </w:tc>
        <w:tc>
          <w:tcPr>
            <w:tcW w:w="258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r>
    </w:tbl>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1. Please cite the source of the information from which the statement "No oil or gas wells exist on site" was attained.</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2. The front lot dimension for Lot 1 does not seem to scale correctly. The dimension on the preliminary plat is listed as 84.31 feet, but seems to scale closer to 100 feet.</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3. Are the front lot dimensions along SW Sage Canyon Rd. for lot 19 correct? From what I see on the plat, the dimensions are listed as 19.49 feet and 28.22 feet. </w:t>
      </w:r>
      <w:r w:rsidRPr="00B33C25">
        <w:rPr>
          <w:rFonts w:ascii="Calibri" w:hAnsi="Calibri" w:cs="Calibri"/>
          <w:sz w:val="21"/>
          <w:szCs w:val="21"/>
        </w:rPr>
        <w:br/>
      </w:r>
      <w:r w:rsidRPr="00B33C25">
        <w:rPr>
          <w:rFonts w:ascii="Calibri" w:hAnsi="Calibri" w:cs="Calibri"/>
          <w:sz w:val="21"/>
          <w:szCs w:val="21"/>
        </w:rPr>
        <w:br/>
        <w:t>This adds up to 47.71 feet which would not meet the minimum UDO requirement of fifty (50) feet of frontage on a public or private street. However, when measured, the width of the street frontage on this lot seems to be closer to 70 feet.</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lastRenderedPageBreak/>
        <w:t>4. The front lot dimensions on lots 4, 17, 26, 28, 66, 72, 75, 83, 91, 94, 95, 101 and 106 conflict with other information and are difficult to read. Please correct.</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5. A portion of the front lot dimension on lot 110 appears to be missing. The dimension is listed as 28.92 feet, but scales closer to 75 feet.</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6. SW </w:t>
      </w:r>
      <w:proofErr w:type="spellStart"/>
      <w:r w:rsidRPr="00B33C25">
        <w:rPr>
          <w:rFonts w:ascii="Calibri" w:hAnsi="Calibri" w:cs="Calibri"/>
          <w:sz w:val="21"/>
          <w:szCs w:val="21"/>
        </w:rPr>
        <w:t>Briarcrest</w:t>
      </w:r>
      <w:proofErr w:type="spellEnd"/>
      <w:r w:rsidRPr="00B33C25">
        <w:rPr>
          <w:rFonts w:ascii="Calibri" w:hAnsi="Calibri" w:cs="Calibri"/>
          <w:sz w:val="21"/>
          <w:szCs w:val="21"/>
        </w:rPr>
        <w:t xml:space="preserve"> Drive (which will be addressed as an east-west running street), extends eastward until it eventually merges with </w:t>
      </w:r>
      <w:proofErr w:type="spellStart"/>
      <w:r w:rsidRPr="00B33C25">
        <w:rPr>
          <w:rFonts w:ascii="Calibri" w:hAnsi="Calibri" w:cs="Calibri"/>
          <w:sz w:val="21"/>
          <w:szCs w:val="21"/>
        </w:rPr>
        <w:t>Flintrock</w:t>
      </w:r>
      <w:proofErr w:type="spellEnd"/>
      <w:r w:rsidRPr="00B33C25">
        <w:rPr>
          <w:rFonts w:ascii="Calibri" w:hAnsi="Calibri" w:cs="Calibri"/>
          <w:sz w:val="21"/>
          <w:szCs w:val="21"/>
        </w:rPr>
        <w:t xml:space="preserve"> Drive (which is addressed as </w:t>
      </w:r>
      <w:proofErr w:type="gramStart"/>
      <w:r w:rsidRPr="00B33C25">
        <w:rPr>
          <w:rFonts w:ascii="Calibri" w:hAnsi="Calibri" w:cs="Calibri"/>
          <w:sz w:val="21"/>
          <w:szCs w:val="21"/>
        </w:rPr>
        <w:t>an</w:t>
      </w:r>
      <w:proofErr w:type="gramEnd"/>
      <w:r w:rsidRPr="00B33C25">
        <w:rPr>
          <w:rFonts w:ascii="Calibri" w:hAnsi="Calibri" w:cs="Calibri"/>
          <w:sz w:val="21"/>
          <w:szCs w:val="21"/>
        </w:rPr>
        <w:t xml:space="preserve"> north-south running street). For purposed of addressing, SW </w:t>
      </w:r>
      <w:proofErr w:type="spellStart"/>
      <w:r w:rsidRPr="00B33C25">
        <w:rPr>
          <w:rFonts w:ascii="Calibri" w:hAnsi="Calibri" w:cs="Calibri"/>
          <w:sz w:val="21"/>
          <w:szCs w:val="21"/>
        </w:rPr>
        <w:t>Briarcrest</w:t>
      </w:r>
      <w:proofErr w:type="spellEnd"/>
      <w:r w:rsidRPr="00B33C25">
        <w:rPr>
          <w:rFonts w:ascii="Calibri" w:hAnsi="Calibri" w:cs="Calibri"/>
          <w:sz w:val="21"/>
          <w:szCs w:val="21"/>
        </w:rPr>
        <w:t xml:space="preserve"> will terminate were it intersects with SW </w:t>
      </w:r>
      <w:proofErr w:type="spellStart"/>
      <w:r w:rsidRPr="00B33C25">
        <w:rPr>
          <w:rFonts w:ascii="Calibri" w:hAnsi="Calibri" w:cs="Calibri"/>
          <w:sz w:val="21"/>
          <w:szCs w:val="21"/>
        </w:rPr>
        <w:t>Mondavi</w:t>
      </w:r>
      <w:proofErr w:type="spellEnd"/>
      <w:r w:rsidRPr="00B33C25">
        <w:rPr>
          <w:rFonts w:ascii="Calibri" w:hAnsi="Calibri" w:cs="Calibri"/>
          <w:sz w:val="21"/>
          <w:szCs w:val="21"/>
        </w:rPr>
        <w:t xml:space="preserve"> Lane.</w:t>
      </w:r>
      <w:r w:rsidRPr="00B33C25">
        <w:rPr>
          <w:rFonts w:ascii="Calibri" w:hAnsi="Calibri" w:cs="Calibri"/>
          <w:sz w:val="21"/>
          <w:szCs w:val="21"/>
        </w:rPr>
        <w:br/>
      </w:r>
      <w:r w:rsidRPr="00B33C25">
        <w:rPr>
          <w:rFonts w:ascii="Calibri" w:hAnsi="Calibri" w:cs="Calibri"/>
          <w:sz w:val="21"/>
          <w:szCs w:val="21"/>
        </w:rPr>
        <w:br/>
        <w:t>As a result of this these lots will have the following addresses</w:t>
      </w:r>
      <w:proofErr w:type="gramStart"/>
      <w:r w:rsidRPr="00B33C25">
        <w:rPr>
          <w:rFonts w:ascii="Calibri" w:hAnsi="Calibri" w:cs="Calibri"/>
          <w:sz w:val="21"/>
          <w:szCs w:val="21"/>
        </w:rPr>
        <w:t>:</w:t>
      </w:r>
      <w:proofErr w:type="gramEnd"/>
      <w:r w:rsidRPr="00B33C25">
        <w:rPr>
          <w:rFonts w:ascii="Calibri" w:hAnsi="Calibri" w:cs="Calibri"/>
          <w:sz w:val="21"/>
          <w:szCs w:val="21"/>
        </w:rPr>
        <w:br/>
      </w:r>
      <w:r w:rsidRPr="00B33C25">
        <w:rPr>
          <w:rFonts w:ascii="Calibri" w:hAnsi="Calibri" w:cs="Calibri"/>
          <w:sz w:val="21"/>
          <w:szCs w:val="21"/>
        </w:rPr>
        <w:br/>
        <w:t xml:space="preserve">Lot 59 - 3990 SW </w:t>
      </w:r>
      <w:proofErr w:type="spellStart"/>
      <w:r w:rsidRPr="00B33C25">
        <w:rPr>
          <w:rFonts w:ascii="Calibri" w:hAnsi="Calibri" w:cs="Calibri"/>
          <w:sz w:val="21"/>
          <w:szCs w:val="21"/>
        </w:rPr>
        <w:t>Briarcrest</w:t>
      </w:r>
      <w:proofErr w:type="spellEnd"/>
      <w:r w:rsidRPr="00B33C25">
        <w:rPr>
          <w:rFonts w:ascii="Calibri" w:hAnsi="Calibri" w:cs="Calibri"/>
          <w:sz w:val="21"/>
          <w:szCs w:val="21"/>
        </w:rPr>
        <w:br/>
        <w:t xml:space="preserve">Lot 60 - 3994 SW </w:t>
      </w:r>
      <w:proofErr w:type="spellStart"/>
      <w:r w:rsidRPr="00B33C25">
        <w:rPr>
          <w:rFonts w:ascii="Calibri" w:hAnsi="Calibri" w:cs="Calibri"/>
          <w:sz w:val="21"/>
          <w:szCs w:val="21"/>
        </w:rPr>
        <w:t>Briarcrest</w:t>
      </w:r>
      <w:proofErr w:type="spellEnd"/>
      <w:r w:rsidRPr="00B33C25">
        <w:rPr>
          <w:rFonts w:ascii="Calibri" w:hAnsi="Calibri" w:cs="Calibri"/>
          <w:sz w:val="21"/>
          <w:szCs w:val="21"/>
        </w:rPr>
        <w:br/>
        <w:t xml:space="preserve">Lot 61 - 3995 SW </w:t>
      </w:r>
      <w:proofErr w:type="spellStart"/>
      <w:r w:rsidRPr="00B33C25">
        <w:rPr>
          <w:rFonts w:ascii="Calibri" w:hAnsi="Calibri" w:cs="Calibri"/>
          <w:sz w:val="21"/>
          <w:szCs w:val="21"/>
        </w:rPr>
        <w:t>Briarcrest</w:t>
      </w:r>
      <w:proofErr w:type="spellEnd"/>
      <w:r w:rsidRPr="00B33C25">
        <w:rPr>
          <w:rFonts w:ascii="Calibri" w:hAnsi="Calibri" w:cs="Calibri"/>
          <w:sz w:val="21"/>
          <w:szCs w:val="21"/>
        </w:rPr>
        <w:br/>
        <w:t xml:space="preserve">Lot 62 - 3991 SW </w:t>
      </w:r>
      <w:proofErr w:type="spellStart"/>
      <w:r w:rsidRPr="00B33C25">
        <w:rPr>
          <w:rFonts w:ascii="Calibri" w:hAnsi="Calibri" w:cs="Calibri"/>
          <w:sz w:val="21"/>
          <w:szCs w:val="21"/>
        </w:rPr>
        <w:t>Briarcrest</w:t>
      </w:r>
      <w:proofErr w:type="spellEnd"/>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7. Re-title the plans as a preliminary development plan rather than a preliminary plat.</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10"/>
          <w:szCs w:val="10"/>
        </w:rPr>
      </w:pPr>
    </w:p>
    <w:tbl>
      <w:tblPr>
        <w:tblW w:w="0" w:type="auto"/>
        <w:tblInd w:w="48" w:type="dxa"/>
        <w:tblLayout w:type="fixed"/>
        <w:tblCellMar>
          <w:left w:w="36" w:type="dxa"/>
          <w:right w:w="36" w:type="dxa"/>
        </w:tblCellMar>
        <w:tblLook w:val="0000"/>
      </w:tblPr>
      <w:tblGrid>
        <w:gridCol w:w="2176"/>
        <w:gridCol w:w="2144"/>
        <w:gridCol w:w="3240"/>
        <w:gridCol w:w="2580"/>
      </w:tblGrid>
      <w:tr w:rsidR="00B33C25" w:rsidRPr="00B33C25">
        <w:tc>
          <w:tcPr>
            <w:tcW w:w="2176" w:type="dxa"/>
            <w:tcBorders>
              <w:top w:val="nil"/>
              <w:left w:val="nil"/>
              <w:bottom w:val="nil"/>
              <w:right w:val="nil"/>
            </w:tcBorders>
          </w:tcPr>
          <w:p w:rsidR="00B33C25" w:rsidRPr="00B33C25" w:rsidRDefault="00B33C25" w:rsidP="00B33C2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outlineLvl w:val="3"/>
              <w:rPr>
                <w:rFonts w:ascii="Calibri" w:hAnsi="Calibri" w:cs="Calibri"/>
                <w:b/>
                <w:bCs/>
                <w:sz w:val="21"/>
                <w:szCs w:val="21"/>
              </w:rPr>
            </w:pPr>
            <w:r w:rsidRPr="00B33C25">
              <w:rPr>
                <w:rFonts w:ascii="Calibri" w:hAnsi="Calibri" w:cs="Calibri"/>
                <w:b/>
                <w:bCs/>
                <w:sz w:val="21"/>
                <w:szCs w:val="21"/>
              </w:rPr>
              <w:t>Engineering Review</w:t>
            </w:r>
          </w:p>
        </w:tc>
        <w:tc>
          <w:tcPr>
            <w:tcW w:w="2144"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Gene Williams</w:t>
            </w:r>
          </w:p>
        </w:tc>
        <w:tc>
          <w:tcPr>
            <w:tcW w:w="324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Senior Staff Engineer</w:t>
            </w:r>
          </w:p>
        </w:tc>
        <w:tc>
          <w:tcPr>
            <w:tcW w:w="258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Corrections</w:t>
            </w:r>
          </w:p>
        </w:tc>
      </w:tr>
      <w:tr w:rsidR="00B33C25" w:rsidRPr="00B33C25">
        <w:tc>
          <w:tcPr>
            <w:tcW w:w="2176" w:type="dxa"/>
            <w:tcBorders>
              <w:top w:val="nil"/>
              <w:left w:val="nil"/>
              <w:bottom w:val="single" w:sz="6" w:space="0" w:color="auto"/>
              <w:right w:val="nil"/>
            </w:tcBorders>
          </w:tcPr>
          <w:p w:rsidR="00B33C25" w:rsidRPr="00B33C25" w:rsidRDefault="00B33C25" w:rsidP="00B33C25">
            <w:pPr>
              <w:keepLines/>
              <w:pBdr>
                <w:bottom w:val="single" w:sz="6" w:space="0" w:color="auto"/>
                <w:between w:val="single" w:sz="6" w:space="0"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c>
          <w:tcPr>
            <w:tcW w:w="2144"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(816) 969-1812</w:t>
            </w:r>
          </w:p>
        </w:tc>
        <w:tc>
          <w:tcPr>
            <w:tcW w:w="324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Gene.Williams@cityofls.net</w:t>
            </w:r>
          </w:p>
        </w:tc>
        <w:tc>
          <w:tcPr>
            <w:tcW w:w="258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r>
    </w:tbl>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 xml:space="preserve">1. The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report did not address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release to the south.  The south property is not “park property” as stated in the report, but rather, privately-owned property owned by Joseph and Angela Stein.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2. The preliminary plat shows a 28 foot wide area just north of the Stein property as “Tract B BMP”, but there appears to be no discussion of this area in the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report.  This area is also within the limits of Lots 37 through 43, which is not allowed.  Detention tracts and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quality features should be located in separate tracts, not on individual lots.  Also, this area does not appear to be large enough to provide adequate detention for the 2, 10, 100 year event plus the 90% mean annual event (i.e., the water quality storm).  If the applicant desires a waiver to the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detention requirements (i.e. for the peak flow attenuation requirements, not the water quality aspect), then it should be discussed within the report.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3. Within the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report, there is no discussion that the applicant is proposing to freely-release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to the south, north and west without detention (i.e., from the western drainage areas shown on Figure 2 in the report).  The report should be transparent in this regard, including a detailed discussion within the report how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releases from these un-detained areas will be managed.  In particular, the 6.9 acre </w:t>
      </w:r>
      <w:proofErr w:type="gramStart"/>
      <w:r w:rsidRPr="00B33C25">
        <w:rPr>
          <w:rFonts w:ascii="Calibri" w:hAnsi="Calibri" w:cs="Calibri"/>
          <w:sz w:val="21"/>
          <w:szCs w:val="21"/>
        </w:rPr>
        <w:t>area shown</w:t>
      </w:r>
      <w:proofErr w:type="gramEnd"/>
      <w:r w:rsidRPr="00B33C25">
        <w:rPr>
          <w:rFonts w:ascii="Calibri" w:hAnsi="Calibri" w:cs="Calibri"/>
          <w:sz w:val="21"/>
          <w:szCs w:val="21"/>
        </w:rPr>
        <w:t xml:space="preserve"> on Figure 2 drains directly toward private property, which may be an issue.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4. The water line connection at SW Blackstone Place and SW Pryor Road should be shown on the plan view as being completed during the initial phase (i.e., during the first plat) of the development.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5. The existing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system on the south end of SW </w:t>
      </w:r>
      <w:proofErr w:type="spellStart"/>
      <w:r w:rsidRPr="00B33C25">
        <w:rPr>
          <w:rFonts w:ascii="Calibri" w:hAnsi="Calibri" w:cs="Calibri"/>
          <w:sz w:val="21"/>
          <w:szCs w:val="21"/>
        </w:rPr>
        <w:t>Benziger</w:t>
      </w:r>
      <w:proofErr w:type="spellEnd"/>
      <w:r w:rsidRPr="00B33C25">
        <w:rPr>
          <w:rFonts w:ascii="Calibri" w:hAnsi="Calibri" w:cs="Calibri"/>
          <w:sz w:val="21"/>
          <w:szCs w:val="21"/>
        </w:rPr>
        <w:t xml:space="preserve"> Drive is shown </w:t>
      </w:r>
      <w:proofErr w:type="spellStart"/>
      <w:r w:rsidRPr="00B33C25">
        <w:rPr>
          <w:rFonts w:ascii="Calibri" w:hAnsi="Calibri" w:cs="Calibri"/>
          <w:sz w:val="21"/>
          <w:szCs w:val="21"/>
        </w:rPr>
        <w:t>daylighting</w:t>
      </w:r>
      <w:proofErr w:type="spellEnd"/>
      <w:r w:rsidRPr="00B33C25">
        <w:rPr>
          <w:rFonts w:ascii="Calibri" w:hAnsi="Calibri" w:cs="Calibri"/>
          <w:sz w:val="21"/>
          <w:szCs w:val="21"/>
        </w:rPr>
        <w:t xml:space="preserve"> near the west property line of the future Lot 33 of this development. As shown, the discharge will be directed toward the foundation of a future home on Lot 33.  There does not appear to be any </w:t>
      </w:r>
      <w:proofErr w:type="spellStart"/>
      <w:r w:rsidRPr="00B33C25">
        <w:rPr>
          <w:rFonts w:ascii="Calibri" w:hAnsi="Calibri" w:cs="Calibri"/>
          <w:sz w:val="21"/>
          <w:szCs w:val="21"/>
        </w:rPr>
        <w:t>stormwater</w:t>
      </w:r>
      <w:proofErr w:type="spellEnd"/>
      <w:r w:rsidRPr="00B33C25">
        <w:rPr>
          <w:rFonts w:ascii="Calibri" w:hAnsi="Calibri" w:cs="Calibri"/>
          <w:sz w:val="21"/>
          <w:szCs w:val="21"/>
        </w:rPr>
        <w:t xml:space="preserve"> conveyance system shown to manage this discharge.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6. Were Record Drawings consulted to determine the location of existing water lines?  It appears the connection points of water lines are on the wrong side of the road at </w:t>
      </w:r>
      <w:proofErr w:type="spellStart"/>
      <w:r w:rsidRPr="00B33C25">
        <w:rPr>
          <w:rFonts w:ascii="Calibri" w:hAnsi="Calibri" w:cs="Calibri"/>
          <w:sz w:val="21"/>
          <w:szCs w:val="21"/>
        </w:rPr>
        <w:t>Flintrock</w:t>
      </w:r>
      <w:proofErr w:type="spellEnd"/>
      <w:r w:rsidRPr="00B33C25">
        <w:rPr>
          <w:rFonts w:ascii="Calibri" w:hAnsi="Calibri" w:cs="Calibri"/>
          <w:sz w:val="21"/>
          <w:szCs w:val="21"/>
        </w:rPr>
        <w:t xml:space="preserve"> Drive, Napa Valley Drive, and </w:t>
      </w:r>
      <w:proofErr w:type="spellStart"/>
      <w:r w:rsidRPr="00B33C25">
        <w:rPr>
          <w:rFonts w:ascii="Calibri" w:hAnsi="Calibri" w:cs="Calibri"/>
          <w:sz w:val="21"/>
          <w:szCs w:val="21"/>
        </w:rPr>
        <w:t>Stoney</w:t>
      </w:r>
      <w:proofErr w:type="spellEnd"/>
      <w:r w:rsidRPr="00B33C25">
        <w:rPr>
          <w:rFonts w:ascii="Calibri" w:hAnsi="Calibri" w:cs="Calibri"/>
          <w:sz w:val="21"/>
          <w:szCs w:val="21"/>
        </w:rPr>
        <w:t xml:space="preserve"> Brook Drive.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8. Sheet 1 of the Utility Layout:  Lot 94 shows a bold line bisecting the lot.  What is this feature?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9. Phasing Plan:  Please specify the completion of the Detention/BMP system in Phase 1, the completion of the road closure and right of way vacation at SW Blackstone Place and SW Pryor Road in Phase 1, the connection of the existing water line at SW Blackstone Place and Pryor Road in Phase 1, the water line loop from north to south along SW </w:t>
      </w:r>
      <w:proofErr w:type="spellStart"/>
      <w:r w:rsidRPr="00B33C25">
        <w:rPr>
          <w:rFonts w:ascii="Calibri" w:hAnsi="Calibri" w:cs="Calibri"/>
          <w:sz w:val="21"/>
          <w:szCs w:val="21"/>
        </w:rPr>
        <w:t>Stoney</w:t>
      </w:r>
      <w:proofErr w:type="spellEnd"/>
      <w:r w:rsidRPr="00B33C25">
        <w:rPr>
          <w:rFonts w:ascii="Calibri" w:hAnsi="Calibri" w:cs="Calibri"/>
          <w:sz w:val="21"/>
          <w:szCs w:val="21"/>
        </w:rPr>
        <w:t xml:space="preserve"> Brook Drive in Phase 1, and any additional detention basins to the south of Blackstone Place in Phase 1.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10. It appears Lot 46 is shown without any sanitary sewer service to the lot.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11. Has there been a preliminary design of the sanitary sewer system to ensure the depths and slopes will be within limits shown in the Design and Construction Manual?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12. Sheet 1, Utility Layout:  Sanitary sewer is shown roughly centered beneath </w:t>
      </w:r>
      <w:proofErr w:type="spellStart"/>
      <w:r w:rsidRPr="00B33C25">
        <w:rPr>
          <w:rFonts w:ascii="Calibri" w:hAnsi="Calibri" w:cs="Calibri"/>
          <w:sz w:val="21"/>
          <w:szCs w:val="21"/>
        </w:rPr>
        <w:t>Mondavi</w:t>
      </w:r>
      <w:proofErr w:type="spellEnd"/>
      <w:r w:rsidRPr="00B33C25">
        <w:rPr>
          <w:rFonts w:ascii="Calibri" w:hAnsi="Calibri" w:cs="Calibri"/>
          <w:sz w:val="21"/>
          <w:szCs w:val="21"/>
        </w:rPr>
        <w:t xml:space="preserve"> Lane.  Please move this line so the majority of the line is five (5) feet from the back of curb.  </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 xml:space="preserve">13. Sidewalks were shown on both sides of the streets within the entire development.  The only road where this would be required is SW </w:t>
      </w:r>
      <w:proofErr w:type="spellStart"/>
      <w:r w:rsidRPr="00B33C25">
        <w:rPr>
          <w:rFonts w:ascii="Calibri" w:hAnsi="Calibri" w:cs="Calibri"/>
          <w:sz w:val="21"/>
          <w:szCs w:val="21"/>
        </w:rPr>
        <w:t>Stoney</w:t>
      </w:r>
      <w:proofErr w:type="spellEnd"/>
      <w:r w:rsidRPr="00B33C25">
        <w:rPr>
          <w:rFonts w:ascii="Calibri" w:hAnsi="Calibri" w:cs="Calibri"/>
          <w:sz w:val="21"/>
          <w:szCs w:val="21"/>
        </w:rPr>
        <w:t xml:space="preserve"> Brook Drive, which is considered a Residential Collector.  All other roads should be shown with sidewalk on one side of the street.  Please ensure the placement coincides with existing sidewalks along </w:t>
      </w:r>
      <w:proofErr w:type="spellStart"/>
      <w:r w:rsidRPr="00B33C25">
        <w:rPr>
          <w:rFonts w:ascii="Calibri" w:hAnsi="Calibri" w:cs="Calibri"/>
          <w:sz w:val="21"/>
          <w:szCs w:val="21"/>
        </w:rPr>
        <w:t>Flintrock</w:t>
      </w:r>
      <w:proofErr w:type="spellEnd"/>
      <w:r w:rsidRPr="00B33C25">
        <w:rPr>
          <w:rFonts w:ascii="Calibri" w:hAnsi="Calibri" w:cs="Calibri"/>
          <w:sz w:val="21"/>
          <w:szCs w:val="21"/>
        </w:rPr>
        <w:t xml:space="preserve"> Drive, Napa Valley Drive, SW Sage Canyon Road, and SW Blackstone Place.</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10"/>
          <w:szCs w:val="10"/>
        </w:rPr>
      </w:pPr>
    </w:p>
    <w:tbl>
      <w:tblPr>
        <w:tblW w:w="0" w:type="auto"/>
        <w:tblInd w:w="48" w:type="dxa"/>
        <w:tblLayout w:type="fixed"/>
        <w:tblCellMar>
          <w:left w:w="36" w:type="dxa"/>
          <w:right w:w="36" w:type="dxa"/>
        </w:tblCellMar>
        <w:tblLook w:val="0000"/>
      </w:tblPr>
      <w:tblGrid>
        <w:gridCol w:w="2176"/>
        <w:gridCol w:w="2144"/>
        <w:gridCol w:w="3240"/>
        <w:gridCol w:w="2580"/>
      </w:tblGrid>
      <w:tr w:rsidR="00B33C25" w:rsidRPr="00B33C25">
        <w:tc>
          <w:tcPr>
            <w:tcW w:w="2176" w:type="dxa"/>
            <w:tcBorders>
              <w:top w:val="nil"/>
              <w:left w:val="nil"/>
              <w:bottom w:val="nil"/>
              <w:right w:val="nil"/>
            </w:tcBorders>
          </w:tcPr>
          <w:p w:rsidR="00B33C25" w:rsidRPr="00B33C25" w:rsidRDefault="00B33C25" w:rsidP="00B33C2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outlineLvl w:val="3"/>
              <w:rPr>
                <w:rFonts w:ascii="Calibri" w:hAnsi="Calibri" w:cs="Calibri"/>
                <w:b/>
                <w:bCs/>
                <w:sz w:val="21"/>
                <w:szCs w:val="21"/>
              </w:rPr>
            </w:pPr>
            <w:r w:rsidRPr="00B33C25">
              <w:rPr>
                <w:rFonts w:ascii="Calibri" w:hAnsi="Calibri" w:cs="Calibri"/>
                <w:b/>
                <w:bCs/>
                <w:sz w:val="21"/>
                <w:szCs w:val="21"/>
              </w:rPr>
              <w:t>Fire Review</w:t>
            </w:r>
          </w:p>
        </w:tc>
        <w:tc>
          <w:tcPr>
            <w:tcW w:w="2144"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Jim Eden</w:t>
            </w:r>
          </w:p>
        </w:tc>
        <w:tc>
          <w:tcPr>
            <w:tcW w:w="324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Assistant Chief</w:t>
            </w:r>
          </w:p>
        </w:tc>
        <w:tc>
          <w:tcPr>
            <w:tcW w:w="2580" w:type="dxa"/>
            <w:tcBorders>
              <w:top w:val="nil"/>
              <w:left w:val="nil"/>
              <w:bottom w:val="nil"/>
              <w:right w:val="nil"/>
            </w:tcBorders>
          </w:tcPr>
          <w:p w:rsidR="00B33C25" w:rsidRPr="00B33C25" w:rsidRDefault="00B33C25" w:rsidP="00B33C25">
            <w:pPr>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Approved with Conditions</w:t>
            </w:r>
          </w:p>
        </w:tc>
      </w:tr>
      <w:tr w:rsidR="00B33C25" w:rsidRPr="00B33C25">
        <w:tc>
          <w:tcPr>
            <w:tcW w:w="2176" w:type="dxa"/>
            <w:tcBorders>
              <w:top w:val="nil"/>
              <w:left w:val="nil"/>
              <w:bottom w:val="single" w:sz="6" w:space="0" w:color="auto"/>
              <w:right w:val="nil"/>
            </w:tcBorders>
          </w:tcPr>
          <w:p w:rsidR="00B33C25" w:rsidRPr="00B33C25" w:rsidRDefault="00B33C25" w:rsidP="00B33C25">
            <w:pPr>
              <w:keepLines/>
              <w:pBdr>
                <w:bottom w:val="single" w:sz="6" w:space="0" w:color="auto"/>
                <w:between w:val="single" w:sz="6" w:space="0"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c>
          <w:tcPr>
            <w:tcW w:w="2144"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(816) 969-1303</w:t>
            </w:r>
          </w:p>
        </w:tc>
        <w:tc>
          <w:tcPr>
            <w:tcW w:w="324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r w:rsidRPr="00B33C25">
              <w:rPr>
                <w:rFonts w:ascii="Calibri" w:hAnsi="Calibri" w:cs="Calibri"/>
                <w:sz w:val="21"/>
                <w:szCs w:val="21"/>
              </w:rPr>
              <w:t>Jim.Eden@cityofls.net</w:t>
            </w:r>
          </w:p>
        </w:tc>
        <w:tc>
          <w:tcPr>
            <w:tcW w:w="2580" w:type="dxa"/>
            <w:tcBorders>
              <w:top w:val="nil"/>
              <w:left w:val="nil"/>
              <w:bottom w:val="single" w:sz="6" w:space="0" w:color="auto"/>
              <w:right w:val="nil"/>
            </w:tcBorders>
          </w:tcPr>
          <w:p w:rsidR="00B33C25" w:rsidRPr="00B33C25" w:rsidRDefault="00B33C25" w:rsidP="00B33C25">
            <w:pPr>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tc>
      </w:tr>
    </w:tbl>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jc w:val="both"/>
        <w:rPr>
          <w:rFonts w:ascii="Calibri" w:hAnsi="Calibri" w:cs="Calibri"/>
          <w:sz w:val="21"/>
          <w:szCs w:val="21"/>
        </w:rPr>
      </w:pPr>
      <w:r w:rsidRPr="00B33C25">
        <w:rPr>
          <w:rFonts w:ascii="Calibri" w:hAnsi="Calibri" w:cs="Calibri"/>
          <w:sz w:val="21"/>
          <w:szCs w:val="21"/>
        </w:rPr>
        <w:t>1. Amended 2012 IFC D107.1 One- or two-family dwelling residential developments.</w:t>
      </w:r>
      <w:r w:rsidRPr="00B33C25">
        <w:rPr>
          <w:rFonts w:ascii="Calibri" w:hAnsi="Calibri" w:cs="Calibri"/>
          <w:sz w:val="21"/>
          <w:szCs w:val="21"/>
        </w:rPr>
        <w:br/>
        <w:t>Developments of one- or two-family dwellings where the number of dwelling units exceeds 50 shall be provided with two separate and approved fire apparatus access roads, and shall meet the requirements of Section D104.3.</w:t>
      </w:r>
      <w:r w:rsidRPr="00B33C25">
        <w:rPr>
          <w:rFonts w:ascii="Calibri" w:hAnsi="Calibri" w:cs="Calibri"/>
          <w:sz w:val="21"/>
          <w:szCs w:val="21"/>
        </w:rPr>
        <w:br/>
      </w:r>
      <w:r w:rsidRPr="00B33C25">
        <w:rPr>
          <w:rFonts w:ascii="Calibri" w:hAnsi="Calibri" w:cs="Calibri"/>
          <w:sz w:val="21"/>
          <w:szCs w:val="21"/>
        </w:rPr>
        <w:br/>
        <w:t>Exceptions</w:t>
      </w:r>
      <w:proofErr w:type="gramStart"/>
      <w:r w:rsidRPr="00B33C25">
        <w:rPr>
          <w:rFonts w:ascii="Calibri" w:hAnsi="Calibri" w:cs="Calibri"/>
          <w:sz w:val="21"/>
          <w:szCs w:val="21"/>
        </w:rPr>
        <w:t>:</w:t>
      </w:r>
      <w:proofErr w:type="gramEnd"/>
      <w:r w:rsidRPr="00B33C25">
        <w:rPr>
          <w:rFonts w:ascii="Calibri" w:hAnsi="Calibri" w:cs="Calibri"/>
          <w:sz w:val="21"/>
          <w:szCs w:val="21"/>
        </w:rPr>
        <w:br/>
      </w:r>
      <w:r w:rsidRPr="00B33C25">
        <w:rPr>
          <w:rFonts w:ascii="Calibri" w:hAnsi="Calibri" w:cs="Calibri"/>
          <w:sz w:val="21"/>
          <w:szCs w:val="21"/>
        </w:rPr>
        <w:br/>
        <w:t>1. Where there are more than 50 dwelling units on a single public or private fire apparatus access road and all dwelling units are equipped throughout with an approved automatic sprinkler system in accordance with Section 903.3.1.1, 903.3.1.2 or 903.3.1.3 of the International Fire Code, access from two directions shall not be required.</w:t>
      </w:r>
      <w:r w:rsidRPr="00B33C25">
        <w:rPr>
          <w:rFonts w:ascii="Calibri" w:hAnsi="Calibri" w:cs="Calibri"/>
          <w:sz w:val="21"/>
          <w:szCs w:val="21"/>
        </w:rPr>
        <w:br/>
      </w:r>
      <w:r w:rsidRPr="00B33C25">
        <w:rPr>
          <w:rFonts w:ascii="Calibri" w:hAnsi="Calibri" w:cs="Calibri"/>
          <w:sz w:val="21"/>
          <w:szCs w:val="21"/>
        </w:rPr>
        <w:br/>
        <w:t>2. The number of dwelling units on a single fire apparatus access road shall not be increased unless fire apparatus access roads will connect with future development, as determined by the fire code official.</w:t>
      </w:r>
      <w:r w:rsidRPr="00B33C25">
        <w:rPr>
          <w:rFonts w:ascii="Calibri" w:hAnsi="Calibri" w:cs="Calibri"/>
          <w:sz w:val="21"/>
          <w:szCs w:val="21"/>
        </w:rPr>
        <w:br/>
      </w:r>
      <w:r w:rsidRPr="00B33C25">
        <w:rPr>
          <w:rFonts w:ascii="Calibri" w:hAnsi="Calibri" w:cs="Calibri"/>
          <w:sz w:val="21"/>
          <w:szCs w:val="21"/>
        </w:rPr>
        <w:br/>
        <w:t xml:space="preserve">Action required: The second access </w:t>
      </w:r>
      <w:proofErr w:type="spellStart"/>
      <w:r w:rsidRPr="00B33C25">
        <w:rPr>
          <w:rFonts w:ascii="Calibri" w:hAnsi="Calibri" w:cs="Calibri"/>
          <w:sz w:val="21"/>
          <w:szCs w:val="21"/>
        </w:rPr>
        <w:t>ust</w:t>
      </w:r>
      <w:proofErr w:type="spellEnd"/>
      <w:r w:rsidRPr="00B33C25">
        <w:rPr>
          <w:rFonts w:ascii="Calibri" w:hAnsi="Calibri" w:cs="Calibri"/>
          <w:sz w:val="21"/>
          <w:szCs w:val="21"/>
        </w:rPr>
        <w:t xml:space="preserve"> be in place before more than 50 building permits will be issued.</w:t>
      </w: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1"/>
          <w:szCs w:val="21"/>
        </w:rPr>
      </w:pPr>
    </w:p>
    <w:p w:rsidR="00B33C25" w:rsidRPr="00B33C25" w:rsidRDefault="00B33C25" w:rsidP="00B33C2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0"/>
          <w:szCs w:val="20"/>
        </w:rPr>
      </w:pPr>
    </w:p>
    <w:p w:rsidR="00B33C25" w:rsidRPr="00B33C25" w:rsidRDefault="00B33C25" w:rsidP="00B33C25">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rPr>
          <w:rFonts w:ascii="Calibri" w:hAnsi="Calibri" w:cs="Calibri"/>
          <w:sz w:val="20"/>
          <w:szCs w:val="20"/>
        </w:rPr>
      </w:pPr>
    </w:p>
    <w:p w:rsidR="00773FE7" w:rsidRDefault="00773FE7"/>
    <w:sectPr w:rsidR="00773FE7" w:rsidSect="00E63813">
      <w:headerReference w:type="default" r:id="rId5"/>
      <w:footerReference w:type="default" r:id="rId6"/>
      <w:headerReference w:type="first" r:id="rId7"/>
      <w:footerReference w:type="first" r:id="rId8"/>
      <w:pgSz w:w="12240" w:h="15840"/>
      <w:pgMar w:top="1440" w:right="1066" w:bottom="1440" w:left="1008" w:header="720" w:footer="720" w:gutter="0"/>
      <w:cols w:space="720"/>
      <w:noEndnote/>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13" w:rsidRDefault="00B33C25">
    <w:pPr>
      <w:pStyle w:val="Normal0"/>
      <w:widowControl/>
      <w:pBdr>
        <w:bottom w:val="single" w:sz="6" w:space="1" w:color="auto"/>
        <w:between w:val="single" w:sz="6" w:space="1" w:color="auto"/>
      </w:pBdr>
      <w:tabs>
        <w:tab w:val="right" w:pos="10166"/>
      </w:tabs>
      <w:jc w:val="center"/>
      <w:rPr>
        <w:rFonts w:ascii="Calibri" w:hAnsi="Calibri" w:cs="Calibri"/>
        <w:sz w:val="18"/>
        <w:szCs w:val="18"/>
      </w:rPr>
    </w:pPr>
    <w:r>
      <w:rPr>
        <w:rFonts w:ascii="Calibri" w:hAnsi="Calibri" w:cs="Calibri"/>
        <w:color w:val="000000"/>
        <w:sz w:val="18"/>
        <w:szCs w:val="18"/>
      </w:rPr>
      <w:t>220 SE Green Street | Lee's Summit, MO 64063</w:t>
    </w:r>
    <w:hyperlink r:id="rId1" w:history="1"/>
    <w:r>
      <w:rPr>
        <w:rFonts w:ascii="Calibri" w:hAnsi="Calibri" w:cs="Calibri"/>
        <w:color w:val="000000"/>
        <w:sz w:val="18"/>
        <w:szCs w:val="18"/>
      </w:rPr>
      <w:t> | 816.969.1600 |</w:t>
    </w:r>
    <w:proofErr w:type="gramStart"/>
    <w:r>
      <w:rPr>
        <w:rFonts w:ascii="Calibri" w:hAnsi="Calibri" w:cs="Calibri"/>
        <w:color w:val="000000"/>
        <w:sz w:val="18"/>
        <w:szCs w:val="18"/>
      </w:rPr>
      <w:t>  </w:t>
    </w:r>
    <w:proofErr w:type="gramEnd"/>
    <w:hyperlink r:id="rId2" w:history="1">
      <w:r>
        <w:rPr>
          <w:rStyle w:val="Hyperlink"/>
          <w:rFonts w:ascii="Calibri" w:hAnsi="Calibri" w:cs="Calibri"/>
          <w:sz w:val="18"/>
          <w:szCs w:val="18"/>
        </w:rPr>
        <w:t>cityofLS.net/Development</w:t>
      </w:r>
    </w:hyperlink>
  </w:p>
  <w:p w:rsidR="00E63813" w:rsidRDefault="00B33C25">
    <w:pPr>
      <w:pStyle w:val="Normal0"/>
      <w:widowControl/>
      <w:tabs>
        <w:tab w:val="center" w:pos="5040"/>
        <w:tab w:val="right" w:pos="10166"/>
      </w:tabs>
      <w:spacing w:before="36"/>
      <w:jc w:val="center"/>
      <w:rPr>
        <w:rFonts w:ascii="Calibri" w:hAnsi="Calibri" w:cs="Calibri"/>
        <w:sz w:val="18"/>
        <w:szCs w:val="18"/>
      </w:rPr>
    </w:pPr>
    <w:r>
      <w:rPr>
        <w:rFonts w:ascii="Calibri" w:hAnsi="Calibri" w:cs="Calibri"/>
        <w:sz w:val="18"/>
        <w:szCs w:val="18"/>
      </w:rPr>
      <w:t xml:space="preserve">Page </w:t>
    </w:r>
    <w:r>
      <w:rPr>
        <w:rFonts w:ascii="Calibri" w:hAnsi="Calibri" w:cs="Calibri"/>
        <w:sz w:val="18"/>
        <w:szCs w:val="18"/>
      </w:rPr>
      <w:fldChar w:fldCharType="begin"/>
    </w:r>
    <w:r>
      <w:rPr>
        <w:rFonts w:ascii="Calibri" w:hAnsi="Calibri" w:cs="Calibri"/>
        <w:sz w:val="18"/>
        <w:szCs w:val="18"/>
      </w:rPr>
      <w:instrText xml:space="preserve"> PAGE \* Arabic </w:instrText>
    </w:r>
    <w:r>
      <w:rPr>
        <w:rFonts w:ascii="Calibri" w:hAnsi="Calibri" w:cs="Calibri"/>
        <w:sz w:val="18"/>
        <w:szCs w:val="18"/>
      </w:rPr>
      <w:fldChar w:fldCharType="separate"/>
    </w:r>
    <w:r>
      <w:rPr>
        <w:rFonts w:ascii="Calibri" w:hAnsi="Calibri" w:cs="Calibri"/>
        <w:noProof/>
        <w:sz w:val="18"/>
        <w:szCs w:val="18"/>
      </w:rPr>
      <w:t>2</w:t>
    </w:r>
    <w:r>
      <w:rPr>
        <w:rFonts w:ascii="Calibri" w:hAnsi="Calibri" w:cs="Calibri"/>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13" w:rsidRDefault="00B33C25">
    <w:pPr>
      <w:pStyle w:val="Normal0"/>
      <w:widowControl/>
      <w:pBdr>
        <w:bottom w:val="single" w:sz="6" w:space="1" w:color="auto"/>
        <w:between w:val="single" w:sz="6" w:space="1" w:color="auto"/>
      </w:pBdr>
      <w:tabs>
        <w:tab w:val="right" w:pos="10166"/>
      </w:tabs>
      <w:jc w:val="center"/>
      <w:rPr>
        <w:rFonts w:ascii="Calibri" w:hAnsi="Calibri" w:cs="Calibri"/>
        <w:sz w:val="18"/>
        <w:szCs w:val="18"/>
      </w:rPr>
    </w:pPr>
    <w:r>
      <w:rPr>
        <w:rFonts w:ascii="Calibri" w:hAnsi="Calibri" w:cs="Calibri"/>
        <w:color w:val="000000"/>
        <w:sz w:val="18"/>
        <w:szCs w:val="18"/>
      </w:rPr>
      <w:t xml:space="preserve">220 SE Green Street | </w:t>
    </w:r>
    <w:r>
      <w:rPr>
        <w:rFonts w:ascii="Calibri" w:hAnsi="Calibri" w:cs="Calibri"/>
        <w:color w:val="000000"/>
        <w:sz w:val="18"/>
        <w:szCs w:val="18"/>
      </w:rPr>
      <w:t>Lee's Summit, MO 64063</w:t>
    </w:r>
    <w:hyperlink r:id="rId1" w:history="1"/>
    <w:r>
      <w:rPr>
        <w:rFonts w:ascii="Calibri" w:hAnsi="Calibri" w:cs="Calibri"/>
        <w:color w:val="000000"/>
        <w:sz w:val="18"/>
        <w:szCs w:val="18"/>
      </w:rPr>
      <w:t xml:space="preserve"> | 816.969.1600 | 816.969.1619 Fax | </w:t>
    </w:r>
    <w:hyperlink r:id="rId2" w:history="1">
      <w:r>
        <w:rPr>
          <w:rStyle w:val="Hyperlink"/>
          <w:rFonts w:ascii="Calibri" w:hAnsi="Calibri" w:cs="Calibri"/>
          <w:sz w:val="18"/>
          <w:szCs w:val="18"/>
        </w:rPr>
        <w:t>cityofLS.net/Development</w:t>
      </w:r>
    </w:hyperlink>
  </w:p>
  <w:p w:rsidR="00E63813" w:rsidRDefault="00B33C25">
    <w:pPr>
      <w:pStyle w:val="Normal0"/>
      <w:widowControl/>
      <w:tabs>
        <w:tab w:val="center" w:pos="5040"/>
        <w:tab w:val="right" w:pos="10166"/>
      </w:tabs>
      <w:spacing w:before="36"/>
      <w:jc w:val="center"/>
      <w:rPr>
        <w:rFonts w:ascii="Calibri" w:hAnsi="Calibri" w:cs="Calibri"/>
        <w:sz w:val="18"/>
        <w:szCs w:val="18"/>
      </w:rPr>
    </w:pPr>
    <w:r>
      <w:rPr>
        <w:rFonts w:ascii="Calibri" w:hAnsi="Calibri" w:cs="Calibri"/>
        <w:sz w:val="18"/>
        <w:szCs w:val="18"/>
      </w:rPr>
      <w:t xml:space="preserve">Page </w:t>
    </w:r>
    <w:r>
      <w:rPr>
        <w:rFonts w:ascii="Calibri" w:hAnsi="Calibri" w:cs="Calibri"/>
        <w:sz w:val="18"/>
        <w:szCs w:val="18"/>
      </w:rPr>
      <w:fldChar w:fldCharType="begin"/>
    </w:r>
    <w:r>
      <w:rPr>
        <w:rFonts w:ascii="Calibri" w:hAnsi="Calibri" w:cs="Calibri"/>
        <w:sz w:val="18"/>
        <w:szCs w:val="18"/>
      </w:rPr>
      <w:instrText xml:space="preserve"> PAGE \* Arabic </w:instrText>
    </w:r>
    <w:r>
      <w:rPr>
        <w:rFonts w:ascii="Calibri" w:hAnsi="Calibri" w:cs="Calibri"/>
        <w:sz w:val="18"/>
        <w:szCs w:val="18"/>
      </w:rPr>
      <w:fldChar w:fldCharType="separate"/>
    </w:r>
    <w:r>
      <w:rPr>
        <w:rFonts w:ascii="Calibri" w:hAnsi="Calibri" w:cs="Calibri"/>
        <w:noProof/>
        <w:sz w:val="18"/>
        <w:szCs w:val="18"/>
      </w:rPr>
      <w:t>1</w:t>
    </w:r>
    <w:r>
      <w:rPr>
        <w:rFonts w:ascii="Calibri" w:hAnsi="Calibri" w:cs="Calibri"/>
        <w:sz w:val="18"/>
        <w:szCs w:val="18"/>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13" w:rsidRDefault="00B33C25">
    <w:pPr>
      <w:pStyle w:val="Normal0"/>
      <w:widowControl/>
      <w:tabs>
        <w:tab w:val="center" w:pos="4320"/>
        <w:tab w:val="righ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rPr>
        <w:sz w:val="52"/>
        <w:szCs w:val="5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13" w:rsidRDefault="00B33C25">
    <w:pPr>
      <w:pStyle w:val="Normal0"/>
      <w:keepNext/>
      <w:widowControl/>
      <w:tabs>
        <w:tab w:val="left" w:pos="54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s>
      <w:jc w:val="center"/>
      <w:rPr>
        <w:sz w:val="12"/>
        <w:szCs w:val="1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tx_id_1_" o:spid="_x0000_s1025" type="#_x0000_t75" style="position:absolute;left:0;text-align:left;margin-left:0;margin-top:0;width:505.85pt;height:90.5pt;z-index:251658240;mso-wrap-distance-left:0;mso-wrap-distance-right:0;mso-position-horizontal:left;mso-position-horizontal-relative:text">
          <v:imagedata r:id="rId1"/>
          <w10:wrap type="squar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360" w:hanging="360"/>
      </w:pPr>
      <w:rPr>
        <w:rFonts w:ascii="Calibri" w:hAnsi="Calibri" w:cs="Calibri"/>
        <w:b/>
        <w:bCs/>
        <w:i w:val="0"/>
        <w:iCs w:val="0"/>
        <w:strike w:val="0"/>
        <w:color w:val="auto"/>
        <w:sz w:val="21"/>
        <w:szCs w:val="21"/>
        <w:u w:val="none"/>
      </w:rPr>
    </w:lvl>
    <w:lvl w:ilvl="1">
      <w:start w:val="1"/>
      <w:numFmt w:val="decimal"/>
      <w:lvlText w:val="%2."/>
      <w:lvlJc w:val="left"/>
      <w:pPr>
        <w:ind w:left="720" w:hanging="360"/>
      </w:pPr>
      <w:rPr>
        <w:rFonts w:ascii="Calibri" w:hAnsi="Calibri" w:cs="Calibri"/>
        <w:b/>
        <w:bCs/>
        <w:i w:val="0"/>
        <w:iCs w:val="0"/>
        <w:strike w:val="0"/>
        <w:color w:val="auto"/>
        <w:sz w:val="21"/>
        <w:szCs w:val="21"/>
        <w:u w:val="none"/>
      </w:rPr>
    </w:lvl>
    <w:lvl w:ilvl="2">
      <w:start w:val="1"/>
      <w:numFmt w:val="decimal"/>
      <w:lvlText w:val="%3."/>
      <w:lvlJc w:val="left"/>
      <w:pPr>
        <w:ind w:left="1080" w:hanging="360"/>
      </w:pPr>
      <w:rPr>
        <w:rFonts w:ascii="Calibri" w:hAnsi="Calibri" w:cs="Calibri"/>
        <w:b/>
        <w:bCs/>
        <w:i w:val="0"/>
        <w:iCs w:val="0"/>
        <w:strike w:val="0"/>
        <w:color w:val="auto"/>
        <w:sz w:val="21"/>
        <w:szCs w:val="21"/>
        <w:u w:val="none"/>
      </w:rPr>
    </w:lvl>
    <w:lvl w:ilvl="3">
      <w:start w:val="1"/>
      <w:numFmt w:val="decimal"/>
      <w:lvlText w:val="%4."/>
      <w:lvlJc w:val="left"/>
      <w:pPr>
        <w:ind w:left="1440" w:hanging="360"/>
      </w:pPr>
      <w:rPr>
        <w:rFonts w:ascii="Calibri" w:hAnsi="Calibri" w:cs="Calibri"/>
        <w:b/>
        <w:bCs/>
        <w:i w:val="0"/>
        <w:iCs w:val="0"/>
        <w:strike w:val="0"/>
        <w:color w:val="auto"/>
        <w:sz w:val="21"/>
        <w:szCs w:val="21"/>
        <w:u w:val="none"/>
      </w:rPr>
    </w:lvl>
    <w:lvl w:ilvl="4">
      <w:start w:val="1"/>
      <w:numFmt w:val="decimal"/>
      <w:lvlText w:val="%5."/>
      <w:lvlJc w:val="left"/>
      <w:pPr>
        <w:ind w:left="1800" w:hanging="360"/>
      </w:pPr>
      <w:rPr>
        <w:rFonts w:ascii="Calibri" w:hAnsi="Calibri" w:cs="Calibri"/>
        <w:b/>
        <w:bCs/>
        <w:i w:val="0"/>
        <w:iCs w:val="0"/>
        <w:strike w:val="0"/>
        <w:color w:val="auto"/>
        <w:sz w:val="21"/>
        <w:szCs w:val="21"/>
        <w:u w:val="none"/>
      </w:rPr>
    </w:lvl>
    <w:lvl w:ilvl="5">
      <w:start w:val="1"/>
      <w:numFmt w:val="decimal"/>
      <w:lvlText w:val="%6."/>
      <w:lvlJc w:val="left"/>
      <w:pPr>
        <w:ind w:left="2160" w:hanging="360"/>
      </w:pPr>
      <w:rPr>
        <w:rFonts w:ascii="Calibri" w:hAnsi="Calibri" w:cs="Calibri"/>
        <w:b/>
        <w:bCs/>
        <w:i w:val="0"/>
        <w:iCs w:val="0"/>
        <w:strike w:val="0"/>
        <w:color w:val="auto"/>
        <w:sz w:val="21"/>
        <w:szCs w:val="21"/>
        <w:u w:val="none"/>
      </w:rPr>
    </w:lvl>
    <w:lvl w:ilvl="6">
      <w:start w:val="1"/>
      <w:numFmt w:val="decimal"/>
      <w:lvlText w:val="%7."/>
      <w:lvlJc w:val="left"/>
      <w:pPr>
        <w:ind w:left="2520" w:hanging="360"/>
      </w:pPr>
      <w:rPr>
        <w:rFonts w:ascii="Calibri" w:hAnsi="Calibri" w:cs="Calibri"/>
        <w:b/>
        <w:bCs/>
        <w:i w:val="0"/>
        <w:iCs w:val="0"/>
        <w:strike w:val="0"/>
        <w:color w:val="auto"/>
        <w:sz w:val="21"/>
        <w:szCs w:val="21"/>
        <w:u w:val="none"/>
      </w:rPr>
    </w:lvl>
    <w:lvl w:ilvl="7">
      <w:start w:val="1"/>
      <w:numFmt w:val="decimal"/>
      <w:lvlText w:val="%8."/>
      <w:lvlJc w:val="left"/>
      <w:pPr>
        <w:ind w:left="2880" w:hanging="360"/>
      </w:pPr>
      <w:rPr>
        <w:rFonts w:ascii="Calibri" w:hAnsi="Calibri" w:cs="Calibri"/>
        <w:b/>
        <w:bCs/>
        <w:i w:val="0"/>
        <w:iCs w:val="0"/>
        <w:strike w:val="0"/>
        <w:color w:val="auto"/>
        <w:sz w:val="21"/>
        <w:szCs w:val="21"/>
        <w:u w:val="none"/>
      </w:rPr>
    </w:lvl>
    <w:lvl w:ilvl="8">
      <w:start w:val="1"/>
      <w:numFmt w:val="decimal"/>
      <w:lvlText w:val="%9."/>
      <w:lvlJc w:val="left"/>
      <w:pPr>
        <w:ind w:left="3240" w:hanging="360"/>
      </w:pPr>
      <w:rPr>
        <w:rFonts w:ascii="Calibri" w:hAnsi="Calibri" w:cs="Calibri"/>
        <w:b/>
        <w:bCs/>
        <w:i w:val="0"/>
        <w:iCs w:val="0"/>
        <w:strike w:val="0"/>
        <w:color w:val="auto"/>
        <w:sz w:val="21"/>
        <w:szCs w:val="21"/>
        <w:u w:val="none"/>
      </w:rPr>
    </w:lvl>
  </w:abstractNum>
  <w:abstractNum w:abstractNumId="1">
    <w:nsid w:val="00000002"/>
    <w:multiLevelType w:val="multilevel"/>
    <w:tmpl w:val="00000002"/>
    <w:lvl w:ilvl="0">
      <w:start w:val="1"/>
      <w:numFmt w:val="bullet"/>
      <w:lvlText w:val=""/>
      <w:lvlJc w:val="left"/>
      <w:pPr>
        <w:ind w:left="720" w:hanging="360"/>
      </w:pPr>
      <w:rPr>
        <w:rFonts w:ascii="Symbol" w:hAnsi="Symbol" w:cs="Symbol" w:hint="default"/>
        <w:b/>
        <w:bCs/>
        <w:i w:val="0"/>
        <w:iCs w:val="0"/>
        <w:strike w:val="0"/>
        <w:color w:val="auto"/>
        <w:sz w:val="22"/>
        <w:szCs w:val="22"/>
        <w:u w:val="none"/>
      </w:rPr>
    </w:lvl>
    <w:lvl w:ilvl="1">
      <w:start w:val="1"/>
      <w:numFmt w:val="bullet"/>
      <w:lvlText w:val=""/>
      <w:lvlJc w:val="left"/>
      <w:pPr>
        <w:ind w:left="1080" w:hanging="360"/>
      </w:pPr>
      <w:rPr>
        <w:rFonts w:ascii="Symbol" w:hAnsi="Symbol" w:cs="Symbol" w:hint="default"/>
        <w:b/>
        <w:bCs/>
        <w:i w:val="0"/>
        <w:iCs w:val="0"/>
        <w:strike w:val="0"/>
        <w:color w:val="auto"/>
        <w:sz w:val="22"/>
        <w:szCs w:val="22"/>
        <w:u w:val="none"/>
      </w:rPr>
    </w:lvl>
    <w:lvl w:ilvl="2">
      <w:start w:val="1"/>
      <w:numFmt w:val="bullet"/>
      <w:lvlText w:val=""/>
      <w:lvlJc w:val="left"/>
      <w:pPr>
        <w:ind w:left="1440" w:hanging="360"/>
      </w:pPr>
      <w:rPr>
        <w:rFonts w:ascii="Symbol" w:hAnsi="Symbol" w:cs="Symbol" w:hint="default"/>
        <w:b/>
        <w:bCs/>
        <w:i w:val="0"/>
        <w:iCs w:val="0"/>
        <w:strike w:val="0"/>
        <w:color w:val="auto"/>
        <w:sz w:val="22"/>
        <w:szCs w:val="22"/>
        <w:u w:val="none"/>
      </w:rPr>
    </w:lvl>
    <w:lvl w:ilvl="3">
      <w:start w:val="1"/>
      <w:numFmt w:val="bullet"/>
      <w:lvlText w:val=""/>
      <w:lvlJc w:val="left"/>
      <w:pPr>
        <w:ind w:left="1800" w:hanging="360"/>
      </w:pPr>
      <w:rPr>
        <w:rFonts w:ascii="Symbol" w:hAnsi="Symbol" w:cs="Symbol" w:hint="default"/>
        <w:b/>
        <w:bCs/>
        <w:i w:val="0"/>
        <w:iCs w:val="0"/>
        <w:strike w:val="0"/>
        <w:color w:val="auto"/>
        <w:sz w:val="22"/>
        <w:szCs w:val="22"/>
        <w:u w:val="none"/>
      </w:rPr>
    </w:lvl>
    <w:lvl w:ilvl="4">
      <w:start w:val="1"/>
      <w:numFmt w:val="bullet"/>
      <w:lvlText w:val=""/>
      <w:lvlJc w:val="left"/>
      <w:pPr>
        <w:ind w:left="2160" w:hanging="360"/>
      </w:pPr>
      <w:rPr>
        <w:rFonts w:ascii="Symbol" w:hAnsi="Symbol" w:cs="Symbol" w:hint="default"/>
        <w:b/>
        <w:bCs/>
        <w:i w:val="0"/>
        <w:iCs w:val="0"/>
        <w:strike w:val="0"/>
        <w:color w:val="auto"/>
        <w:sz w:val="22"/>
        <w:szCs w:val="22"/>
        <w:u w:val="none"/>
      </w:rPr>
    </w:lvl>
    <w:lvl w:ilvl="5">
      <w:start w:val="1"/>
      <w:numFmt w:val="bullet"/>
      <w:lvlText w:val=""/>
      <w:lvlJc w:val="left"/>
      <w:pPr>
        <w:ind w:left="2520" w:hanging="360"/>
      </w:pPr>
      <w:rPr>
        <w:rFonts w:ascii="Symbol" w:hAnsi="Symbol" w:cs="Symbol" w:hint="default"/>
        <w:b/>
        <w:bCs/>
        <w:i w:val="0"/>
        <w:iCs w:val="0"/>
        <w:strike w:val="0"/>
        <w:color w:val="auto"/>
        <w:sz w:val="22"/>
        <w:szCs w:val="22"/>
        <w:u w:val="none"/>
      </w:rPr>
    </w:lvl>
    <w:lvl w:ilvl="6">
      <w:start w:val="1"/>
      <w:numFmt w:val="bullet"/>
      <w:lvlText w:val=""/>
      <w:lvlJc w:val="left"/>
      <w:pPr>
        <w:ind w:left="2880" w:hanging="360"/>
      </w:pPr>
      <w:rPr>
        <w:rFonts w:ascii="Symbol" w:hAnsi="Symbol" w:cs="Symbol" w:hint="default"/>
        <w:b/>
        <w:bCs/>
        <w:i w:val="0"/>
        <w:iCs w:val="0"/>
        <w:strike w:val="0"/>
        <w:color w:val="auto"/>
        <w:sz w:val="22"/>
        <w:szCs w:val="22"/>
        <w:u w:val="none"/>
      </w:rPr>
    </w:lvl>
    <w:lvl w:ilvl="7">
      <w:start w:val="1"/>
      <w:numFmt w:val="bullet"/>
      <w:lvlText w:val=""/>
      <w:lvlJc w:val="left"/>
      <w:pPr>
        <w:ind w:left="3240" w:hanging="360"/>
      </w:pPr>
      <w:rPr>
        <w:rFonts w:ascii="Symbol" w:hAnsi="Symbol" w:cs="Symbol" w:hint="default"/>
        <w:b/>
        <w:bCs/>
        <w:i w:val="0"/>
        <w:iCs w:val="0"/>
        <w:strike w:val="0"/>
        <w:color w:val="auto"/>
        <w:sz w:val="22"/>
        <w:szCs w:val="22"/>
        <w:u w:val="none"/>
      </w:rPr>
    </w:lvl>
    <w:lvl w:ilvl="8">
      <w:start w:val="1"/>
      <w:numFmt w:val="bullet"/>
      <w:lvlText w:val=""/>
      <w:lvlJc w:val="left"/>
      <w:pPr>
        <w:ind w:left="3600" w:hanging="360"/>
      </w:pPr>
      <w:rPr>
        <w:rFonts w:ascii="Symbol" w:hAnsi="Symbol" w:cs="Symbol" w:hint="default"/>
        <w:b/>
        <w:bCs/>
        <w:i w:val="0"/>
        <w:iCs w:val="0"/>
        <w:strike w:val="0"/>
        <w:color w:val="auto"/>
        <w:sz w:val="22"/>
        <w:szCs w:val="22"/>
        <w:u w:val="none"/>
      </w:rPr>
    </w:lvl>
  </w:abstractNum>
  <w:num w:numId="1">
    <w:abstractNumId w:val="0"/>
  </w:num>
  <w:num w:numId="2">
    <w:abstractNumId w:val="1"/>
  </w:num>
  <w:num w:numId="3">
    <w:abstractNumId w:val="1"/>
    <w:lvlOverride w:ilvl="0">
      <w:lvl w:ilvl="0">
        <w:start w:val="1"/>
        <w:numFmt w:val="bullet"/>
        <w:lvlText w:val=""/>
        <w:lvlJc w:val="left"/>
        <w:pPr>
          <w:ind w:left="1080" w:hanging="360"/>
        </w:pPr>
        <w:rPr>
          <w:rFonts w:ascii="Symbol" w:hAnsi="Symbol" w:cs="Symbol" w:hint="default"/>
          <w:b w:val="0"/>
          <w:bCs w:val="0"/>
          <w:i w:val="0"/>
          <w:iCs w:val="0"/>
          <w:strike w:val="0"/>
          <w:color w:val="auto"/>
          <w:sz w:val="22"/>
          <w:szCs w:val="22"/>
          <w:u w:val="none"/>
        </w:rPr>
      </w:lvl>
    </w:lvlOverride>
    <w:lvlOverride w:ilvl="1">
      <w:lvl w:ilvl="1">
        <w:start w:val="1"/>
        <w:numFmt w:val="bullet"/>
        <w:lvlText w:val=""/>
        <w:lvlJc w:val="left"/>
        <w:pPr>
          <w:ind w:left="1080" w:hanging="360"/>
        </w:pPr>
        <w:rPr>
          <w:rFonts w:ascii="Symbol" w:hAnsi="Symbol" w:cs="Symbol" w:hint="default"/>
          <w:b/>
          <w:bCs/>
          <w:i w:val="0"/>
          <w:iCs w:val="0"/>
          <w:strike w:val="0"/>
          <w:color w:val="auto"/>
          <w:sz w:val="22"/>
          <w:szCs w:val="22"/>
          <w:u w:val="none"/>
        </w:rPr>
      </w:lvl>
    </w:lvlOverride>
    <w:lvlOverride w:ilvl="2">
      <w:lvl w:ilvl="2">
        <w:start w:val="1"/>
        <w:numFmt w:val="bullet"/>
        <w:lvlText w:val=""/>
        <w:lvlJc w:val="left"/>
        <w:pPr>
          <w:ind w:left="1440" w:hanging="360"/>
        </w:pPr>
        <w:rPr>
          <w:rFonts w:ascii="Symbol" w:hAnsi="Symbol" w:cs="Symbol" w:hint="default"/>
          <w:b/>
          <w:bCs/>
          <w:i w:val="0"/>
          <w:iCs w:val="0"/>
          <w:strike w:val="0"/>
          <w:color w:val="auto"/>
          <w:sz w:val="22"/>
          <w:szCs w:val="22"/>
          <w:u w:val="none"/>
        </w:rPr>
      </w:lvl>
    </w:lvlOverride>
    <w:lvlOverride w:ilvl="3">
      <w:lvl w:ilvl="3">
        <w:start w:val="1"/>
        <w:numFmt w:val="bullet"/>
        <w:lvlText w:val=""/>
        <w:lvlJc w:val="left"/>
        <w:pPr>
          <w:ind w:left="1800" w:hanging="360"/>
        </w:pPr>
        <w:rPr>
          <w:rFonts w:ascii="Symbol" w:hAnsi="Symbol" w:cs="Symbol" w:hint="default"/>
          <w:b/>
          <w:bCs/>
          <w:i w:val="0"/>
          <w:iCs w:val="0"/>
          <w:strike w:val="0"/>
          <w:color w:val="auto"/>
          <w:sz w:val="22"/>
          <w:szCs w:val="22"/>
          <w:u w:val="none"/>
        </w:rPr>
      </w:lvl>
    </w:lvlOverride>
    <w:lvlOverride w:ilvl="4">
      <w:lvl w:ilvl="4">
        <w:start w:val="1"/>
        <w:numFmt w:val="bullet"/>
        <w:lvlText w:val=""/>
        <w:lvlJc w:val="left"/>
        <w:pPr>
          <w:ind w:left="2160" w:hanging="360"/>
        </w:pPr>
        <w:rPr>
          <w:rFonts w:ascii="Symbol" w:hAnsi="Symbol" w:cs="Symbol" w:hint="default"/>
          <w:b/>
          <w:bCs/>
          <w:i w:val="0"/>
          <w:iCs w:val="0"/>
          <w:strike w:val="0"/>
          <w:color w:val="auto"/>
          <w:sz w:val="22"/>
          <w:szCs w:val="22"/>
          <w:u w:val="none"/>
        </w:rPr>
      </w:lvl>
    </w:lvlOverride>
    <w:lvlOverride w:ilvl="5">
      <w:lvl w:ilvl="5">
        <w:start w:val="1"/>
        <w:numFmt w:val="bullet"/>
        <w:lvlText w:val=""/>
        <w:lvlJc w:val="left"/>
        <w:pPr>
          <w:ind w:left="2520" w:hanging="360"/>
        </w:pPr>
        <w:rPr>
          <w:rFonts w:ascii="Symbol" w:hAnsi="Symbol" w:cs="Symbol" w:hint="default"/>
          <w:b/>
          <w:bCs/>
          <w:i w:val="0"/>
          <w:iCs w:val="0"/>
          <w:strike w:val="0"/>
          <w:color w:val="auto"/>
          <w:sz w:val="22"/>
          <w:szCs w:val="22"/>
          <w:u w:val="none"/>
        </w:rPr>
      </w:lvl>
    </w:lvlOverride>
    <w:lvlOverride w:ilvl="6">
      <w:lvl w:ilvl="6">
        <w:start w:val="1"/>
        <w:numFmt w:val="bullet"/>
        <w:lvlText w:val=""/>
        <w:lvlJc w:val="left"/>
        <w:pPr>
          <w:ind w:left="2880" w:hanging="360"/>
        </w:pPr>
        <w:rPr>
          <w:rFonts w:ascii="Symbol" w:hAnsi="Symbol" w:cs="Symbol" w:hint="default"/>
          <w:b/>
          <w:bCs/>
          <w:i w:val="0"/>
          <w:iCs w:val="0"/>
          <w:strike w:val="0"/>
          <w:color w:val="auto"/>
          <w:sz w:val="22"/>
          <w:szCs w:val="22"/>
          <w:u w:val="none"/>
        </w:rPr>
      </w:lvl>
    </w:lvlOverride>
    <w:lvlOverride w:ilvl="7">
      <w:lvl w:ilvl="7">
        <w:start w:val="1"/>
        <w:numFmt w:val="bullet"/>
        <w:lvlText w:val=""/>
        <w:lvlJc w:val="left"/>
        <w:pPr>
          <w:ind w:left="3240" w:hanging="360"/>
        </w:pPr>
        <w:rPr>
          <w:rFonts w:ascii="Symbol" w:hAnsi="Symbol" w:cs="Symbol" w:hint="default"/>
          <w:b/>
          <w:bCs/>
          <w:i w:val="0"/>
          <w:iCs w:val="0"/>
          <w:strike w:val="0"/>
          <w:color w:val="auto"/>
          <w:sz w:val="22"/>
          <w:szCs w:val="22"/>
          <w:u w:val="none"/>
        </w:rPr>
      </w:lvl>
    </w:lvlOverride>
    <w:lvlOverride w:ilvl="8">
      <w:lvl w:ilvl="8">
        <w:start w:val="1"/>
        <w:numFmt w:val="bullet"/>
        <w:lvlText w:val=""/>
        <w:lvlJc w:val="left"/>
        <w:pPr>
          <w:ind w:left="3600" w:hanging="360"/>
        </w:pPr>
        <w:rPr>
          <w:rFonts w:ascii="Symbol" w:hAnsi="Symbol" w:cs="Symbol" w:hint="default"/>
          <w:b/>
          <w:bCs/>
          <w:i w:val="0"/>
          <w:iCs w:val="0"/>
          <w:strike w:val="0"/>
          <w:color w:val="auto"/>
          <w:sz w:val="22"/>
          <w:szCs w:val="22"/>
          <w:u w:val="none"/>
        </w:rPr>
      </w:lvl>
    </w:lvlOverride>
  </w:num>
  <w:num w:numId="4">
    <w:abstractNumId w:val="1"/>
    <w:lvlOverride w:ilvl="0">
      <w:lvl w:ilvl="0">
        <w:start w:val="1"/>
        <w:numFmt w:val="bullet"/>
        <w:lvlText w:val=""/>
        <w:lvlJc w:val="left"/>
        <w:pPr>
          <w:ind w:left="720" w:hanging="360"/>
        </w:pPr>
        <w:rPr>
          <w:rFonts w:ascii="Symbol" w:hAnsi="Symbol" w:cs="Symbol" w:hint="default"/>
          <w:b/>
          <w:bCs/>
          <w:i w:val="0"/>
          <w:iCs w:val="0"/>
          <w:strike w:val="0"/>
          <w:color w:val="auto"/>
          <w:sz w:val="22"/>
          <w:szCs w:val="22"/>
          <w:u w:val="none"/>
        </w:rPr>
      </w:lvl>
    </w:lvlOverride>
    <w:lvlOverride w:ilvl="1">
      <w:lvl w:ilvl="1">
        <w:start w:val="1"/>
        <w:numFmt w:val="bullet"/>
        <w:lvlText w:val=""/>
        <w:lvlJc w:val="left"/>
        <w:pPr>
          <w:ind w:left="1080" w:hanging="360"/>
        </w:pPr>
        <w:rPr>
          <w:rFonts w:ascii="Symbol" w:hAnsi="Symbol" w:cs="Symbol" w:hint="default"/>
          <w:b/>
          <w:bCs/>
          <w:i w:val="0"/>
          <w:iCs w:val="0"/>
          <w:strike w:val="0"/>
          <w:color w:val="auto"/>
          <w:sz w:val="22"/>
          <w:szCs w:val="22"/>
          <w:u w:val="none"/>
        </w:rPr>
      </w:lvl>
    </w:lvlOverride>
    <w:lvlOverride w:ilvl="2">
      <w:lvl w:ilvl="2">
        <w:start w:val="1"/>
        <w:numFmt w:val="bullet"/>
        <w:lvlText w:val=""/>
        <w:lvlJc w:val="left"/>
        <w:pPr>
          <w:ind w:left="1440" w:hanging="360"/>
        </w:pPr>
        <w:rPr>
          <w:rFonts w:ascii="Symbol" w:hAnsi="Symbol" w:cs="Symbol" w:hint="default"/>
          <w:b/>
          <w:bCs/>
          <w:i w:val="0"/>
          <w:iCs w:val="0"/>
          <w:strike w:val="0"/>
          <w:color w:val="auto"/>
          <w:sz w:val="22"/>
          <w:szCs w:val="22"/>
          <w:u w:val="none"/>
        </w:rPr>
      </w:lvl>
    </w:lvlOverride>
    <w:lvlOverride w:ilvl="3">
      <w:lvl w:ilvl="3">
        <w:start w:val="1"/>
        <w:numFmt w:val="bullet"/>
        <w:lvlText w:val=""/>
        <w:lvlJc w:val="left"/>
        <w:pPr>
          <w:ind w:left="1800" w:hanging="360"/>
        </w:pPr>
        <w:rPr>
          <w:rFonts w:ascii="Symbol" w:hAnsi="Symbol" w:cs="Symbol" w:hint="default"/>
          <w:b/>
          <w:bCs/>
          <w:i w:val="0"/>
          <w:iCs w:val="0"/>
          <w:strike w:val="0"/>
          <w:color w:val="auto"/>
          <w:sz w:val="22"/>
          <w:szCs w:val="22"/>
          <w:u w:val="none"/>
        </w:rPr>
      </w:lvl>
    </w:lvlOverride>
    <w:lvlOverride w:ilvl="4">
      <w:lvl w:ilvl="4">
        <w:start w:val="1"/>
        <w:numFmt w:val="bullet"/>
        <w:lvlText w:val=""/>
        <w:lvlJc w:val="left"/>
        <w:pPr>
          <w:ind w:left="2160" w:hanging="360"/>
        </w:pPr>
        <w:rPr>
          <w:rFonts w:ascii="Symbol" w:hAnsi="Symbol" w:cs="Symbol" w:hint="default"/>
          <w:b/>
          <w:bCs/>
          <w:i w:val="0"/>
          <w:iCs w:val="0"/>
          <w:strike w:val="0"/>
          <w:color w:val="auto"/>
          <w:sz w:val="22"/>
          <w:szCs w:val="22"/>
          <w:u w:val="none"/>
        </w:rPr>
      </w:lvl>
    </w:lvlOverride>
    <w:lvlOverride w:ilvl="5">
      <w:lvl w:ilvl="5">
        <w:start w:val="1"/>
        <w:numFmt w:val="bullet"/>
        <w:lvlText w:val=""/>
        <w:lvlJc w:val="left"/>
        <w:pPr>
          <w:ind w:left="2520" w:hanging="360"/>
        </w:pPr>
        <w:rPr>
          <w:rFonts w:ascii="Symbol" w:hAnsi="Symbol" w:cs="Symbol" w:hint="default"/>
          <w:b/>
          <w:bCs/>
          <w:i w:val="0"/>
          <w:iCs w:val="0"/>
          <w:strike w:val="0"/>
          <w:color w:val="auto"/>
          <w:sz w:val="22"/>
          <w:szCs w:val="22"/>
          <w:u w:val="none"/>
        </w:rPr>
      </w:lvl>
    </w:lvlOverride>
    <w:lvlOverride w:ilvl="6">
      <w:lvl w:ilvl="6">
        <w:start w:val="1"/>
        <w:numFmt w:val="bullet"/>
        <w:lvlText w:val=""/>
        <w:lvlJc w:val="left"/>
        <w:pPr>
          <w:ind w:left="2880" w:hanging="360"/>
        </w:pPr>
        <w:rPr>
          <w:rFonts w:ascii="Symbol" w:hAnsi="Symbol" w:cs="Symbol" w:hint="default"/>
          <w:b/>
          <w:bCs/>
          <w:i w:val="0"/>
          <w:iCs w:val="0"/>
          <w:strike w:val="0"/>
          <w:color w:val="auto"/>
          <w:sz w:val="22"/>
          <w:szCs w:val="22"/>
          <w:u w:val="none"/>
        </w:rPr>
      </w:lvl>
    </w:lvlOverride>
    <w:lvlOverride w:ilvl="7">
      <w:lvl w:ilvl="7">
        <w:start w:val="1"/>
        <w:numFmt w:val="bullet"/>
        <w:lvlText w:val=""/>
        <w:lvlJc w:val="left"/>
        <w:pPr>
          <w:ind w:left="3240" w:hanging="360"/>
        </w:pPr>
        <w:rPr>
          <w:rFonts w:ascii="Symbol" w:hAnsi="Symbol" w:cs="Symbol" w:hint="default"/>
          <w:b/>
          <w:bCs/>
          <w:i w:val="0"/>
          <w:iCs w:val="0"/>
          <w:strike w:val="0"/>
          <w:color w:val="auto"/>
          <w:sz w:val="22"/>
          <w:szCs w:val="22"/>
          <w:u w:val="none"/>
        </w:rPr>
      </w:lvl>
    </w:lvlOverride>
    <w:lvlOverride w:ilvl="8">
      <w:lvl w:ilvl="8">
        <w:start w:val="1"/>
        <w:numFmt w:val="bullet"/>
        <w:lvlText w:val=""/>
        <w:lvlJc w:val="left"/>
        <w:pPr>
          <w:ind w:left="3600" w:hanging="360"/>
        </w:pPr>
        <w:rPr>
          <w:rFonts w:ascii="Symbol" w:hAnsi="Symbol" w:cs="Symbol" w:hint="default"/>
          <w:b/>
          <w:bCs/>
          <w:i w:val="0"/>
          <w:iCs w:val="0"/>
          <w:strike w:val="0"/>
          <w:color w:val="auto"/>
          <w:sz w:val="22"/>
          <w:szCs w:val="22"/>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compat/>
  <w:rsids>
    <w:rsidRoot w:val="00B33C25"/>
    <w:rsid w:val="005D7FCE"/>
    <w:rsid w:val="00773FE7"/>
    <w:rsid w:val="00B33C25"/>
    <w:rsid w:val="00E05C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FE7"/>
  </w:style>
  <w:style w:type="paragraph" w:styleId="Heading1">
    <w:name w:val="heading 1"/>
    <w:basedOn w:val="Normal"/>
    <w:next w:val="Normal"/>
    <w:link w:val="Heading1Char"/>
    <w:uiPriority w:val="99"/>
    <w:qFormat/>
    <w:rsid w:val="00B33C25"/>
    <w:pPr>
      <w:keepNext/>
      <w:tabs>
        <w:tab w:val="left" w:pos="540"/>
        <w:tab w:val="left" w:pos="1080"/>
        <w:tab w:val="left" w:pos="1620"/>
        <w:tab w:val="left" w:pos="2160"/>
        <w:tab w:val="left" w:pos="2700"/>
        <w:tab w:val="left" w:pos="3240"/>
        <w:tab w:val="left" w:pos="3780"/>
        <w:tab w:val="left" w:pos="4320"/>
      </w:tabs>
      <w:autoSpaceDE w:val="0"/>
      <w:autoSpaceDN w:val="0"/>
      <w:adjustRightInd w:val="0"/>
      <w:spacing w:before="60" w:after="60" w:line="240" w:lineRule="auto"/>
      <w:jc w:val="center"/>
      <w:outlineLvl w:val="0"/>
    </w:pPr>
    <w:rPr>
      <w:rFonts w:ascii="Arial" w:hAnsi="Arial" w:cs="Arial"/>
      <w:b/>
      <w:bCs/>
      <w:sz w:val="20"/>
      <w:szCs w:val="20"/>
    </w:rPr>
  </w:style>
  <w:style w:type="paragraph" w:styleId="Heading4">
    <w:name w:val="heading 4"/>
    <w:basedOn w:val="Normal"/>
    <w:next w:val="Normal"/>
    <w:link w:val="Heading4Char"/>
    <w:uiPriority w:val="99"/>
    <w:qFormat/>
    <w:rsid w:val="00B33C25"/>
    <w:pPr>
      <w:keepNext/>
      <w:autoSpaceDE w:val="0"/>
      <w:autoSpaceDN w:val="0"/>
      <w:adjustRightInd w:val="0"/>
      <w:spacing w:after="120" w:line="240" w:lineRule="auto"/>
      <w:outlineLvl w:val="3"/>
    </w:pPr>
    <w:rPr>
      <w:rFonts w:cs="Century Goth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33C25"/>
    <w:rPr>
      <w:rFonts w:ascii="Arial" w:hAnsi="Arial" w:cs="Arial"/>
      <w:b/>
      <w:bCs/>
      <w:sz w:val="20"/>
      <w:szCs w:val="20"/>
    </w:rPr>
  </w:style>
  <w:style w:type="character" w:customStyle="1" w:styleId="Heading4Char">
    <w:name w:val="Heading 4 Char"/>
    <w:basedOn w:val="DefaultParagraphFont"/>
    <w:link w:val="Heading4"/>
    <w:uiPriority w:val="99"/>
    <w:rsid w:val="00B33C25"/>
    <w:rPr>
      <w:rFonts w:cs="Century Gothic"/>
      <w:b/>
      <w:bCs/>
      <w:sz w:val="26"/>
      <w:szCs w:val="26"/>
    </w:rPr>
  </w:style>
  <w:style w:type="paragraph" w:customStyle="1" w:styleId="Normal0">
    <w:name w:val="[Normal]"/>
    <w:uiPriority w:val="99"/>
    <w:rsid w:val="00B33C25"/>
    <w:pPr>
      <w:widowControl w:val="0"/>
      <w:autoSpaceDE w:val="0"/>
      <w:autoSpaceDN w:val="0"/>
      <w:adjustRightInd w:val="0"/>
      <w:spacing w:after="0" w:line="240" w:lineRule="auto"/>
    </w:pPr>
    <w:rPr>
      <w:rFonts w:ascii="Arial" w:hAnsi="Arial" w:cs="Arial"/>
      <w:sz w:val="24"/>
      <w:szCs w:val="24"/>
    </w:rPr>
  </w:style>
  <w:style w:type="character" w:styleId="Hyperlink">
    <w:name w:val="Hyperlink"/>
    <w:basedOn w:val="DefaultParagraphFont"/>
    <w:uiPriority w:val="99"/>
    <w:rsid w:val="00B33C25"/>
    <w:rPr>
      <w:color w:val="0000FF"/>
      <w:u w:val="single"/>
    </w:rPr>
  </w:style>
  <w:style w:type="paragraph" w:styleId="EndnoteText">
    <w:name w:val="endnote text"/>
    <w:basedOn w:val="Normal"/>
    <w:link w:val="EndnoteTextChar"/>
    <w:uiPriority w:val="99"/>
    <w:rsid w:val="00B33C25"/>
    <w:pPr>
      <w:autoSpaceDE w:val="0"/>
      <w:autoSpaceDN w:val="0"/>
      <w:adjustRightInd w:val="0"/>
      <w:spacing w:after="0" w:line="240" w:lineRule="auto"/>
    </w:pPr>
    <w:rPr>
      <w:rFonts w:ascii="CG Times" w:hAnsi="CG Times" w:cs="CG Times"/>
      <w:sz w:val="24"/>
      <w:szCs w:val="24"/>
    </w:rPr>
  </w:style>
  <w:style w:type="character" w:customStyle="1" w:styleId="EndnoteTextChar">
    <w:name w:val="Endnote Text Char"/>
    <w:basedOn w:val="DefaultParagraphFont"/>
    <w:link w:val="EndnoteText"/>
    <w:uiPriority w:val="99"/>
    <w:rsid w:val="00B33C25"/>
    <w:rPr>
      <w:rFonts w:ascii="CG Times" w:hAnsi="CG Times" w:cs="CG Time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cityofls.net/Development.aspx" TargetMode="External"/><Relationship Id="rId1" Type="http://schemas.openxmlformats.org/officeDocument/2006/relationships/hyperlink" Target="..\..\..\..\..\ADMIN\Communications%20City%20Scope%20Media%20Packet%20Press%20Releases%20Weekly%20Report\Marketing%20LS\Email%20Signatures\www.cityofls.ne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cityofls.net/Development.aspx" TargetMode="External"/><Relationship Id="rId1" Type="http://schemas.openxmlformats.org/officeDocument/2006/relationships/hyperlink" Target="..\..\..\..\..\ADMIN\Communications%20City%20Scope%20Media%20Packet%20Press%20Releases%20Weekly%20Report\Marketing%20LS\Email%20Signatures\www.cityofls.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file:///\\Lscview\images\P&amp;D%20CV%20Letterhead%20FINAL.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1593</Words>
  <Characters>9084</Characters>
  <Application>Microsoft Office Word</Application>
  <DocSecurity>0</DocSecurity>
  <Lines>75</Lines>
  <Paragraphs>21</Paragraphs>
  <ScaleCrop>false</ScaleCrop>
  <Company>City of Lee's Summit</Company>
  <LinksUpToDate>false</LinksUpToDate>
  <CharactersWithSpaces>10656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dbell</dc:creator>
  <cp:lastModifiedBy>dbell</cp:lastModifiedBy>
  <cp:revision>1</cp:revision>
  <dcterms:created xsi:type="dcterms:W3CDTF">2015-11-05T14:37:00Z</dcterms:created>
  <dcterms:modified xsi:type="dcterms:W3CDTF">2015-11-05T14:39:00Z</dcterms:modified>
</cp:coreProperties>
</file>